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shd w:val="clear" w:color="auto" w:fill="FFFFDD"/>
        <w:tblCellMar>
          <w:top w:w="15" w:type="dxa"/>
          <w:left w:w="15" w:type="dxa"/>
          <w:bottom w:w="15" w:type="dxa"/>
          <w:right w:w="15" w:type="dxa"/>
        </w:tblCellMar>
        <w:tblLook w:val="04A0" w:firstRow="1" w:lastRow="0" w:firstColumn="1" w:lastColumn="0" w:noHBand="0" w:noVBand="1"/>
      </w:tblPr>
      <w:tblGrid>
        <w:gridCol w:w="9505"/>
      </w:tblGrid>
      <w:tr w:rsidR="00383303" w:rsidRPr="00383303">
        <w:tc>
          <w:tcPr>
            <w:tcW w:w="3500" w:type="pct"/>
            <w:tcBorders>
              <w:top w:val="single" w:sz="6" w:space="0" w:color="000000"/>
              <w:left w:val="single" w:sz="6" w:space="0" w:color="000000"/>
              <w:bottom w:val="single" w:sz="6" w:space="0" w:color="000000"/>
              <w:right w:val="single" w:sz="6" w:space="0" w:color="000000"/>
            </w:tcBorders>
            <w:shd w:val="clear" w:color="auto" w:fill="FFFFDD"/>
            <w:tcMar>
              <w:top w:w="75" w:type="dxa"/>
              <w:left w:w="75" w:type="dxa"/>
              <w:bottom w:w="75" w:type="dxa"/>
              <w:right w:w="75" w:type="dxa"/>
            </w:tcMar>
            <w:hideMark/>
          </w:tcPr>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МИНИСТЕРСТВО ОБРАЗОВАНИЯ РЕСПУБЛИКИ БЕЛАРУСЬ</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Учреждение образования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«Гомельский государственный технический университет имени П.О.Сухого»</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Кафедра «Экономика и управление в АПК»</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ДИПЛОМНАЯ РАБОТА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На тему</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«Анализ эффективности использования основных средств предприятия на примере ОАО «Гомельдрев» ДОК и разработка основных направлений по повышению эффективности их использования»</w:t>
            </w:r>
          </w:p>
          <w:p w:rsidR="00383303" w:rsidRPr="00383303" w:rsidRDefault="00383303" w:rsidP="00383303">
            <w:pPr>
              <w:spacing w:before="75" w:after="75" w:line="240" w:lineRule="auto"/>
              <w:ind w:left="150" w:right="150"/>
              <w:jc w:val="center"/>
              <w:outlineLvl w:val="0"/>
              <w:rPr>
                <w:rFonts w:ascii="Courier New" w:eastAsia="Times New Roman" w:hAnsi="Courier New" w:cs="Courier New"/>
                <w:b/>
                <w:bCs/>
                <w:kern w:val="36"/>
                <w:sz w:val="33"/>
                <w:szCs w:val="33"/>
                <w:lang w:eastAsia="ru-RU"/>
              </w:rPr>
            </w:pPr>
            <w:r w:rsidRPr="00383303">
              <w:rPr>
                <w:rFonts w:ascii="Courier New" w:eastAsia="Times New Roman" w:hAnsi="Courier New" w:cs="Courier New"/>
                <w:b/>
                <w:bCs/>
                <w:kern w:val="36"/>
                <w:sz w:val="33"/>
                <w:szCs w:val="33"/>
                <w:lang w:eastAsia="ru-RU"/>
              </w:rPr>
              <w:t xml:space="preserve">Выполнил студент гр. ЗУА-61 Ковалев А.А.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Руководитель поэкономической части,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к.э.н., старший преподаватель Лапицкая Л.М.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Руководитель поорг. - технической части,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к.э.н., старший преподаватель Лапицкая Л.М.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Руководитель по экономико – математическим методам и ЭВМ,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к.э.н., старший преподаватель Лапицкая Л.М.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Руководитель по охране труда и технике безопасности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Ассистент Целуев М.Ю.</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Нормоконтролер, ассистент Курочка Н.А.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Дипломная работа к защите в ГЭК допущена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Заведующий кафедрой «Экономика и управление в АПК» Дрозд С.С.</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«____»___________________2010г.</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Гомель 2010г.</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РЕЦЕНЗИЯ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Тема: «Анализ эффективности использования основных средств предприятия на примере ОАО «Гомельдрев» ДОК и разработка основных направлений по повышению эффективности их использования»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Студентом обработано большое количество теоретического материала, на достаточно высоком теоретическом и методологическом уровне проведено исследование методов и особенностей финансовой оценки деятельности предприятия. Содержание работы полностью соответствует выданному дипломнику заданию. Материал в работе изложен с соблюдением внутренней логики, между разделами существует логическая взаимосвязь.</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Прослеживается тщательная работа по каждому разделу рассматриваемой темы. Полностью раскрыта тема работы, достигнута поставленная цель, решены поставленные </w:t>
            </w:r>
            <w:r w:rsidRPr="00383303">
              <w:rPr>
                <w:rFonts w:ascii="Courier New" w:eastAsia="Times New Roman" w:hAnsi="Courier New" w:cs="Courier New"/>
                <w:sz w:val="18"/>
                <w:szCs w:val="18"/>
                <w:lang w:eastAsia="ru-RU"/>
              </w:rPr>
              <w:lastRenderedPageBreak/>
              <w:t>задачи.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Использованный практический материал достоверен, сделанные выводы обоснованы, рекомендации имеют практическую значимость.</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Дипломная работа имеет теоретическое значение, в ней разработана и реализована методика финансовой оценки эффективности деятельности предприятия с учетом особенностей ресторанного бизнеса Также результаты исследования, проведенного в работе, могут быть применены рассмотренным предприятием в управлении финансами.</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Содержание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Введение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     Экономическое содержание основных средств и методические основы анализа их эффективности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1.1  Экономическое содержание основных средств, их классификация Значение, задачи и информационное обеспечение анализа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1.2 Порядок начисления амортизации и способы переоценки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1.3  Показатели и методика анализа эффективности использования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     Оценка эффективности использования основных средств на ОАО « Гомельдрев» ДОК</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2.1 Технико-экономическая характеристика предприятия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2.2 Анализ состава, структуры и технического состояния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2.3 Анализ движения основных средств и интенсивность их обновления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2.4Оценка эффективности использования основных средств на предприятии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3     Пути повышения эффективности использования основных средств на ОАО « Гомельдрев» ДОК</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3.1 Основные направления повышения эффективности использования основных средств на предприятии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3.2 Зарубежный опыт в улучшении использования основных средств</w:t>
            </w:r>
          </w:p>
          <w:p w:rsidR="00383303" w:rsidRPr="00383303" w:rsidRDefault="00383303" w:rsidP="00383303">
            <w:pPr>
              <w:spacing w:before="75" w:after="75" w:line="240" w:lineRule="auto"/>
              <w:ind w:left="150" w:right="150"/>
              <w:jc w:val="center"/>
              <w:outlineLvl w:val="0"/>
              <w:rPr>
                <w:rFonts w:ascii="Courier New" w:eastAsia="Times New Roman" w:hAnsi="Courier New" w:cs="Courier New"/>
                <w:b/>
                <w:bCs/>
                <w:kern w:val="36"/>
                <w:sz w:val="33"/>
                <w:szCs w:val="33"/>
                <w:lang w:eastAsia="ru-RU"/>
              </w:rPr>
            </w:pPr>
            <w:r w:rsidRPr="00383303">
              <w:rPr>
                <w:rFonts w:ascii="Courier New" w:eastAsia="Times New Roman" w:hAnsi="Courier New" w:cs="Courier New"/>
                <w:b/>
                <w:bCs/>
                <w:kern w:val="36"/>
                <w:sz w:val="33"/>
                <w:szCs w:val="33"/>
                <w:lang w:eastAsia="ru-RU"/>
              </w:rPr>
              <w:t>Заключение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Список использованных источников</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75" w:after="75" w:line="240" w:lineRule="auto"/>
              <w:ind w:left="150" w:right="150"/>
              <w:jc w:val="center"/>
              <w:outlineLvl w:val="0"/>
              <w:rPr>
                <w:rFonts w:ascii="Courier New" w:eastAsia="Times New Roman" w:hAnsi="Courier New" w:cs="Courier New"/>
                <w:b/>
                <w:bCs/>
                <w:kern w:val="36"/>
                <w:sz w:val="33"/>
                <w:szCs w:val="33"/>
                <w:lang w:eastAsia="ru-RU"/>
              </w:rPr>
            </w:pPr>
            <w:r w:rsidRPr="00383303">
              <w:rPr>
                <w:rFonts w:ascii="Courier New" w:eastAsia="Times New Roman" w:hAnsi="Courier New" w:cs="Courier New"/>
                <w:b/>
                <w:bCs/>
                <w:kern w:val="36"/>
                <w:sz w:val="33"/>
                <w:szCs w:val="33"/>
                <w:lang w:eastAsia="ru-RU"/>
              </w:rPr>
              <w:t>ВВЕДЕНИЕ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Формирование рыночных отношений предполагает конкурентную борьбу между различными товаропроизводителями, победить в которой смогут те из них, кто наиболее эффективно использует все виды имеющихся ресурсов. Основные средства непосредственно участвуют в создании материальных ценностей и являются одним из важнейших факторов любого производства.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Уровень использования основных средств оказывает непосредственное влияние на объем капитальных вложений, темпы развития производства, степень использования трудовых ресурсов и производительность их труда, качество выпускаемой продукции, рост </w:t>
            </w:r>
            <w:r w:rsidRPr="00383303">
              <w:rPr>
                <w:rFonts w:ascii="Courier New" w:eastAsia="Times New Roman" w:hAnsi="Courier New" w:cs="Courier New"/>
                <w:sz w:val="18"/>
                <w:szCs w:val="18"/>
                <w:lang w:eastAsia="ru-RU"/>
              </w:rPr>
              <w:lastRenderedPageBreak/>
              <w:t>материального благосостояния общества.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Анализ состояния основных средств Республики Беларусь определяет очевидность и актуальность этой темы. Предприятия, располагающие основными средствами, доставшимися в наследство от социалистической экономики, должны не только стремиться их модернизировать, но и максимально эффективно использовать то, что есть, особенно в существующих условиях дефицита финансов и производственных инвестиций. Так, на 1 января 2009 года моральный и физический износ основных средств республики составляет около 70-80%, что вызывает существенные потери в народном хозяйстве.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Во-первых, старение оборудования требует увеличения вложения средств в капитальный ремонт для поддержания его в рабочем состоянии, дополнительных расходов на топливо и энергию. Во-вторых, устаревшее производство чаще всего не дает возможность использовать новую технику, а потому убыточное производство создает зону застоя, препятствующую научно-техническому прогрессу.</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Более полное использование основных средств на предприятии приводит к уменьшению потребностей во вводе новых производственных мощностей при изменении объема производства, а, следовательно, к лучшему использованию прибыли предприятия (увеличению доли отчислений в фонд потребления, направлению большей части фонда накопления на механизацию и автоматизацию технологических процессов и т.п.).</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Улучшение использования основных средств означает также ускорение их оборачиваемости, что в значительной мере способствует решению проблемы сокращения разрыва в сроках физического и морального износа, ускорения темпов обновления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Эффективное использование основных средств тесно связано и с повышением качества выпускаемой продукции, так как в условиях рыночной конкуренции быстрее реализуется и пользуется спросом высококачественная продукция.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Следовательно, вопросы анализа использования основных средств и затем разработка на его основе направлений повышения эффективности их использования для предприятий в условиях рыночной экономики особенно актуальны.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Цель данной дипломной работы – проведение анализа эффективности использования основных средств предприятия на примере ОАО «Гомельдрев» ДОК и разработка основных направлений по повышению эффективности их использования.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Чтобы достичь поставленной цели, в настоящей дипломной работе рассмотрены наиболее важные моменты и направления анализа основных средств и путей улучшения их использования.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первой главе рассматриваются теоретические аспекты анализа эффективности использования основных средств, их понятие, содержание, применяемая классификация. Рассмотрена действующая методика начисления амортизации, способы и актуальные проблемы переоценки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Вторая глава дипломной работы посвящена анализу эффективности использования основных средств на конкретном предприятии республики – ОАО «Гомельдрев» ДОК.</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третьей главе работы предложены пути повышения эффективности использования основных средств на предприятии, исходя из разработки конкретных мероприятий.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написании работы были изучены и использованы Положения «О порядке начисления амортизации основных средств и нематериальных активов», «О переоценке основных средств организаций по состоянию на 1 января 2005 года», и другие нормативно-правовые документы.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Практической основой для анализа основных средств ОАО «Гомельдрев» ДОК стала бухгалтерская отчетность предприятия за 2006–2009 гг., Бизнес-план предприятия на 2009год, План организационно-технических мероприятий ОАО «Гомельдрев» на 2009 год.</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lastRenderedPageBreak/>
              <w:t>1 Экономическое содержание основных средств и методические основы анализа их эффективности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1.1 Экономическое содержание основных средств, их классификация. Значение, задачи и информационное обеспечение анализа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Основные средства представляют совокупность вещей, сохраняющих свою натуральную форму и используемых коммерческой, некоммерческой организацией или индивидуальным предпринимателем в хозяйственной деятельности в течении длительного (более 12 месяцев) периода.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Также их можно охарактеризовать как совокупность произведенных общественным трудом материально-вещественных ценностей, действующих в неизменной натуральной форме в течение длительного периода времени и утрачивающих свою стоимость по частям.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международной практике принято следующее определение основных средств: основные средства – это стоимость материальных активов, которые используются в хозяйственном обороте и обеспечивают предприятию получение экономических выгод в будущем.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 ним относятся здания, сооружения, передаточные устройства, рабочие и силовые машины, оборудование, измерительные, регулирующие приборы и устройства, вычислительная техника, транспортные средства, инструмент, производственный и хозяйственный инвентарь, принадлежности, скот, многолетние насаждения, внутрихозяйственные дороги и прочие основные средства.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Кроме того, к основным средствам принадлежат капитальные вложения в улучшение земель (мелиоративные работы) и в арендованные здания, сооружения, оборудование и другие объекты, относящиеся к этим средствам.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Капитальные вложения в многолетние насаждения, улучшение земель включаются в состав основных средств ежегодно в сумме затрат, относящихся к принятым в эксплуатацию площадям независимо от окончания всего комплекса работ.</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Законченные капитальные затраты в арендованные здания, сооружения, оборудование и другие основные объекты, относящиеся к основным средствам, зачисляются арендатором в собственные основные средства в сумме фактических расходов, если иное не предусмотрено договором аренды. Основные средства являются продуктами труда; используются на предприятии в качестве средств труда или материальных условий для нормального хода процесса производства; длительное время участвуют в производственной деятельности; постепенно переносят свою стоимость на произведенную продукцию.</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Для упрощения планирования, финансирования и учета к основным средствам не относятся: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сырье, материалы и другие товары, стоимость которых единовременно переносится на стоимость продукции (работ, услуг), вырабатываемой с их использованием, а также незавершенное производство, готовая продукция и товары для перепродажи, денежные средства, ценные бумаги и другие финансовые вложения;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быстроизнашивающиеся предметы, служащие менее одного года, независимо от их стоимости;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малоценные предметы - предметы труда, инструменты и приспособления, производственный и хозяйственный инвентарь (в том числе тара для хранения товарно-материальных ценностей на складах или для осуществления технологических процессов), средства защиты работающих от вредных воздействий производственной среды, многократно используемые в хозяйственной деятельности организации, сохраняющие свою натурально-вещественную форму, стоимость единицы которых на момент приобретения не превышает 10 минимальных заработных плат.</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Малоценные предметы не относятся к основным средствам независимо от срока их службы, за исключением сельскохозяйственных машин и орудий, строительного механизированного инструмента, а также рабочего скота, которые считаются основными </w:t>
            </w:r>
            <w:r w:rsidRPr="00383303">
              <w:rPr>
                <w:rFonts w:ascii="Courier New" w:eastAsia="Times New Roman" w:hAnsi="Courier New" w:cs="Courier New"/>
                <w:sz w:val="18"/>
                <w:szCs w:val="18"/>
                <w:lang w:eastAsia="ru-RU"/>
              </w:rPr>
              <w:lastRenderedPageBreak/>
              <w:t>средствами независимо от их стоимости.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условиях перехода к рыночной экономике задачами бухгалтерского учета являются правильное и своевременное отражение поступления, выбытия и перемещения основных средств, контроль за их наличием и сохранностью в местах эксплуатации; своевременное и точное исчисление износа основных средств и правильное его отражение в учете; определение затрат по ремонту и контроль за рациональным использованием средств, выделенных для этой цели; выявление неиспользуемых, лишних объектов основных средств; контроль за эффективностью использования, нахождение резервов повышения эффективности работы машин, оборудования, транспортных средств, других объектов, а также использования производственных площадей для увеличения выпуска продукции; оперативное обеспечение необходимой информацией руководства предприятия о состоянии основных средств путем автоматизации учетно-вычислительных работ на базе современных средств вычислительной техники.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учете основные средства подразделены на однородные группы. Министерством статистики и анализа Республики Беларусь установлена единая классификация основных средств, в соответствии с которой они делятся: по отраслям народного хозяйства; функциональному назначению; натурально-вещественному составу; степени использования; принадлежности [10].</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зависимости от вида деятельности предприятия основные средства относятся к определенным отраслям (промышленность, сельское хозяйство, транспорт, строительство, торговля, общественное питание, материально-техническое обеспечение, связь, заготовки и др.).</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 функциональному назначению основные средства подразделяются на промышленно-производственные, производственные других отраслей и непроизводственные. К промышленно-производственным относятся основные средства, непосредственно участвующие в производственном процессе, при помощи которых рабочим или средствами автоматики осуществляется воздействие на предметы труда при изготовлении продукции (системы машин, комплексы технологического оборудования, инструменты и т. п.) или которые создают необходимые материальные условия для осуществления производства (здания, сооружения, передаточные устройства и т. п.). В свою очередь промышленно-производственные основные средства по своему натурально-вещественному составу учитываются по следующим группам: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 здания — производственные корпуса и строения, занятые различными цехами, заводоуправлением, лабораториями, складами, административно-хозяйственными, другими подразделениями и службами. Они создают нормальные условия для труда и хранения материальных ценностей;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 сооружения — шахты, нефтяные и газовые скважины, водонапорные башни, мосты, эстакады и др. Назначением этой группы средств является создание условий, необходимых для производства путем выполнения тех или иных технических функций, не связанных с изменением предметов труда (сырья, материалов и т. п.);</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3) передаточные устройства — линии электропередачи, теплосети, трубопроводы для передачи от объекта к объекту воды, пара, газа, воздуха, кислоты и т. п.;</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4) машины и оборудование: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 силовые машины и оборудование — машины-генераторы, вырабатывающие тепловую и электрическую энергию, машины-двигатели, превращающие разного рода энергию в механическую (атомные реакторы, турбины, электродвигатели, паровые двигатели и др.);</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б) рабочие машины и оборудование — машины, аппараты, оборудование, с помощью которых производится механическое, термическое или химическое воздействие на предметы труда с целью изменения их состава, формы и состояния. К этой же группе средств относятся машины и оборудование, предназначенные для перемещения предметов труда в производственном процессе (мостовые и металлургические краны, конвейеры), а также специальные транспортные средства в доменных мартеновских, прокатных и коксовых печах (чугуновозы, шлаковозы и др.). Отдельно выделяются автоматические машины, оборудование и автоматические линии-станки-автоматы, в том числе с программным управлением; кузнечно-прессовые автоматы; оборудование для учета- выпуска продукции, </w:t>
            </w:r>
            <w:r w:rsidRPr="00383303">
              <w:rPr>
                <w:rFonts w:ascii="Courier New" w:eastAsia="Times New Roman" w:hAnsi="Courier New" w:cs="Courier New"/>
                <w:sz w:val="18"/>
                <w:szCs w:val="18"/>
                <w:lang w:eastAsia="ru-RU"/>
              </w:rPr>
              <w:lastRenderedPageBreak/>
              <w:t>контроля ее качества и др.;</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измерительные, регулирующие приборы, устройства и лабораторное оборудование — приборы и устройства, предназначенные для измерения толщины, диаметра, площади, веса, времени, давления, скорости, числа оборотов, мощности, напряженности и т. п., а также приборы для испытания материалов, выполнения опытов, анализов к исследования;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г) вычислительная техника — электронно-вычислительные, управляющие, аналоговые и другие машины, устройства, предназначенные для ускорения и автоматизации процессов, связанных с решением математических задач (вычислительных, логических) по заданной программе, получением требуемой информации;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 прочие машины и оборудование — машины и оборудование, не входящие в перечисленные подгруппы (оборудование автоматических телефонных станций, установки промышленного телевидения, пожарные машины и др.);</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5) транспортные средства — подвижной состав железнодорожного, автомобильного и других видов транспорта для транспортировки пассажиров, материалов, полуфабрикатов, готовых изделий (электровозы, морские и речные суда, автомобили, магистральные газо- и нефтепроводы);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6) инструмент — различные инструменты, предназначенные для обработки сырья, материалов, полуфабрикатов (электродрели, электровибраторы, краскопульты и др.), различные приспособления для передвижения материалов в процессе обработки;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7) производственный инвентарь и принадлежности — предметы производственного назначения, которые обеспечивают выполнение производственных операций (рабочие столы, верстаки и т. п.), а также средства для хранения жидких, сыпучих материалов, находящихся в цехах, на складах (чаны, бочки и т. п.);</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8) хозяйственный инвентарь — конторский и хозяйственный инвентарь (канцелярские столы, пишущие машинки, множительная техника и т. д.);</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9) рабочий и продуктивный скот (лошади, верблюды, волы и др.);</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10) многолетние насаждения — плодовоягодные, озеленительные и декоративные насаждения;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11) капитальные затраты по улучшению земель— расходы, понесенные предприятиями по облагораживанию земельных участков (раскопка, раскорчевка, выравнивание и др.), но не связанные с созданием сооружений;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12) прочие основные средства — библиотечные фонды, капитальные затраты в арендованные основные средства и другие, не вошедшие в предыдущие группы.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 производственным относятся также основные средства сельского хозяйства, торговли, строительства и др. В учете они показываются в целом по отрасли, в которой функционируют, без подразделений по каким-либо признакам.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группу непроизводственных относят основные средства жилищно-коммунального хозяйства и бытового обслуживания населения, здравоохранения, физической культуры, образования, культуры, искусства и других отраслей непроизводственной сферы (здания дворцов культуры, общежитии, мебель, оборудование и принадлежности в них, жилые дома и т. д.). Они учитываются одной группой.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В зависимости от того, как используются объекты в производственной и хозяйственной деятельности, различают действующие, находящиеся в запасе и бездействующие основные средства. Такое деление необходимо для получения информации о загрузке и эффективности использования основных средств, возможностях замены износившихся средств, принятия мер к передаче или реализации другим предприятиям ненужных средств, а также правильного расчета амортизации для включения в издержки производства. К действующим основным средствам относятся основные средства, используемые в производственной и хозяйственной деятельности. Находящиеся в запасе предназначаются для замены действующих во время ремонта, модернизации или полного выбытия. </w:t>
            </w:r>
            <w:r w:rsidRPr="00383303">
              <w:rPr>
                <w:rFonts w:ascii="Courier New" w:eastAsia="Times New Roman" w:hAnsi="Courier New" w:cs="Courier New"/>
                <w:sz w:val="18"/>
                <w:szCs w:val="18"/>
                <w:lang w:eastAsia="ru-RU"/>
              </w:rPr>
              <w:lastRenderedPageBreak/>
              <w:t>Бездействующие — это такие, которые по различным причинам не используются.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 принадлежности основные средства подразделяются на собственные и арендованные. Собственные полностью принадлежат данному предприятию, а арендованные являются собственностью других предприятий и в соответствии с договором аренды используются на данном предприятии.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Основные средства являются одним из важнейших факторов любого производства. Их состояние и эффективное использование прямо влияет на конечные результаты хозяйственной деятельности предприятий.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Формирование рыночных отношений предполагает конкурентную борьбу между различными товаропроизводителями, победить в которой смогут те из них, кто наиболее эффективно использует все виды имеющихся ресурсов.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Условия перехода к рыночной экономике побуждают трудовые коллективы к постоянному поиску резервов повышения эффективности использования всех материально-вещественных факторов производства, в том числе и основных фондов. Выявить и практически использовать эти резервы можно с помощью тщательного экономического анализа.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Состояние и использование основных фондов - один из </w:t>
            </w:r>
            <w:bookmarkStart w:id="0" w:name="e0_0_"/>
            <w:r w:rsidRPr="00383303">
              <w:rPr>
                <w:rFonts w:ascii="Courier New" w:eastAsia="Times New Roman" w:hAnsi="Courier New" w:cs="Courier New"/>
                <w:color w:val="6600CC"/>
                <w:sz w:val="18"/>
                <w:szCs w:val="18"/>
                <w:lang w:eastAsia="ru-RU"/>
              </w:rPr>
              <w:t xml:space="preserve">важнейших </w:t>
            </w:r>
            <w:bookmarkEnd w:id="0"/>
            <w:r w:rsidRPr="00383303">
              <w:rPr>
                <w:rFonts w:ascii="Courier New" w:eastAsia="Times New Roman" w:hAnsi="Courier New" w:cs="Courier New"/>
                <w:sz w:val="18"/>
                <w:szCs w:val="18"/>
                <w:lang w:eastAsia="ru-RU"/>
              </w:rPr>
              <w:t xml:space="preserve">аспектов аналитической работы, так как именно они являются материальным воплощением научно-технического прогресса - главного фактора повышения эффективности любого производства.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Более полное и рациональное использование основных фондов и производственных мощностей предприятия способствует улучшению всех его технико-экономических показателей: росту производительности труда, повышению </w:t>
            </w:r>
            <w:bookmarkStart w:id="1" w:name="e0_1_"/>
            <w:r w:rsidRPr="00383303">
              <w:rPr>
                <w:rFonts w:ascii="Courier New" w:eastAsia="Times New Roman" w:hAnsi="Courier New" w:cs="Courier New"/>
                <w:color w:val="6600CC"/>
                <w:sz w:val="18"/>
                <w:szCs w:val="18"/>
                <w:lang w:eastAsia="ru-RU"/>
              </w:rPr>
              <w:t xml:space="preserve">фондоотдачи, </w:t>
            </w:r>
            <w:bookmarkEnd w:id="1"/>
            <w:r w:rsidRPr="00383303">
              <w:rPr>
                <w:rFonts w:ascii="Courier New" w:eastAsia="Times New Roman" w:hAnsi="Courier New" w:cs="Courier New"/>
                <w:sz w:val="18"/>
                <w:szCs w:val="18"/>
                <w:lang w:eastAsia="ru-RU"/>
              </w:rPr>
              <w:t xml:space="preserve">увеличению выпуска продукции, снижению ее себестоимости, экономии капитальных вложений. Таким образом анализ использования основных средств позволяет дать оценку насколько эффективно предприятие использует свои производственные мощности и выявить возможные резервы повышения этой эффективности.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Задачами анализа состояния и эффективности использования основных производственных фондов являются: установление обеспеченности предприятия и его структурных подразделений основными фондами - соответствия величины, состава и технического уровня фондов потребности в них; выяснение выполнения плана их роста, обновления и выбытия, изучение технического состояния основных средств и особенно наиболее активной их части - машин и оборудования, определение степени </w:t>
            </w:r>
            <w:bookmarkStart w:id="2" w:name="e0_2_"/>
            <w:r w:rsidRPr="00383303">
              <w:rPr>
                <w:rFonts w:ascii="Courier New" w:eastAsia="Times New Roman" w:hAnsi="Courier New" w:cs="Courier New"/>
                <w:color w:val="6600CC"/>
                <w:sz w:val="18"/>
                <w:szCs w:val="18"/>
                <w:lang w:eastAsia="ru-RU"/>
              </w:rPr>
              <w:t>ис</w:t>
            </w:r>
            <w:bookmarkEnd w:id="2"/>
            <w:r w:rsidRPr="00383303">
              <w:rPr>
                <w:rFonts w:ascii="Courier New" w:eastAsia="Times New Roman" w:hAnsi="Courier New" w:cs="Courier New"/>
                <w:sz w:val="18"/>
                <w:szCs w:val="18"/>
                <w:lang w:eastAsia="ru-RU"/>
              </w:rPr>
              <w:t xml:space="preserve">пользования основных фондов и факторов, на нее повлиявших, установление полноты применения парка оборудования и его комплектности, выяснение эффективности использования оборудования во времени и по мощности, определение влияния использования основных фондов на объем продукции и другие </w:t>
            </w:r>
            <w:bookmarkStart w:id="3" w:name="e0_3_"/>
            <w:r w:rsidRPr="00383303">
              <w:rPr>
                <w:rFonts w:ascii="Courier New" w:eastAsia="Times New Roman" w:hAnsi="Courier New" w:cs="Courier New"/>
                <w:color w:val="6600CC"/>
                <w:sz w:val="18"/>
                <w:szCs w:val="18"/>
                <w:lang w:eastAsia="ru-RU"/>
              </w:rPr>
              <w:t xml:space="preserve">экономические </w:t>
            </w:r>
            <w:bookmarkEnd w:id="3"/>
            <w:r w:rsidRPr="00383303">
              <w:rPr>
                <w:rFonts w:ascii="Courier New" w:eastAsia="Times New Roman" w:hAnsi="Courier New" w:cs="Courier New"/>
                <w:sz w:val="18"/>
                <w:szCs w:val="18"/>
                <w:lang w:eastAsia="ru-RU"/>
              </w:rPr>
              <w:t xml:space="preserve">показатели работы предприятия, выявление резервов роста </w:t>
            </w:r>
            <w:bookmarkStart w:id="4" w:name="e0_4_"/>
            <w:r w:rsidRPr="00383303">
              <w:rPr>
                <w:rFonts w:ascii="Courier New" w:eastAsia="Times New Roman" w:hAnsi="Courier New" w:cs="Courier New"/>
                <w:color w:val="6600CC"/>
                <w:sz w:val="18"/>
                <w:szCs w:val="18"/>
                <w:lang w:eastAsia="ru-RU"/>
              </w:rPr>
              <w:t xml:space="preserve">фондоотдачи, </w:t>
            </w:r>
            <w:bookmarkEnd w:id="4"/>
            <w:r w:rsidRPr="00383303">
              <w:rPr>
                <w:rFonts w:ascii="Courier New" w:eastAsia="Times New Roman" w:hAnsi="Courier New" w:cs="Courier New"/>
                <w:sz w:val="18"/>
                <w:szCs w:val="18"/>
                <w:lang w:eastAsia="ru-RU"/>
              </w:rPr>
              <w:t>увеличения объема продукции и прибыли за счет улучшения использования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Источниками информации для анализа эффективности использования основных средств служат:</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План экономического и социального развития, план технического развития, </w:t>
            </w:r>
            <w:bookmarkStart w:id="5" w:name="e0_5_"/>
            <w:r w:rsidRPr="00383303">
              <w:rPr>
                <w:rFonts w:ascii="Courier New" w:eastAsia="Times New Roman" w:hAnsi="Courier New" w:cs="Courier New"/>
                <w:color w:val="6600CC"/>
                <w:sz w:val="18"/>
                <w:szCs w:val="18"/>
                <w:lang w:eastAsia="ru-RU"/>
              </w:rPr>
              <w:t xml:space="preserve">ф. № </w:t>
            </w:r>
            <w:bookmarkEnd w:id="5"/>
            <w:r w:rsidRPr="00383303">
              <w:rPr>
                <w:rFonts w:ascii="Courier New" w:eastAsia="Times New Roman" w:hAnsi="Courier New" w:cs="Courier New"/>
                <w:sz w:val="18"/>
                <w:szCs w:val="18"/>
                <w:lang w:eastAsia="ru-RU"/>
              </w:rPr>
              <w:t xml:space="preserve">1 «Баланс предприятия», </w:t>
            </w:r>
            <w:bookmarkStart w:id="6" w:name="e0_6_"/>
            <w:r w:rsidRPr="00383303">
              <w:rPr>
                <w:rFonts w:ascii="Courier New" w:eastAsia="Times New Roman" w:hAnsi="Courier New" w:cs="Courier New"/>
                <w:color w:val="6600CC"/>
                <w:sz w:val="18"/>
                <w:szCs w:val="18"/>
                <w:lang w:eastAsia="ru-RU"/>
              </w:rPr>
              <w:t xml:space="preserve">ф. № </w:t>
            </w:r>
            <w:bookmarkEnd w:id="6"/>
            <w:r w:rsidRPr="00383303">
              <w:rPr>
                <w:rFonts w:ascii="Courier New" w:eastAsia="Times New Roman" w:hAnsi="Courier New" w:cs="Courier New"/>
                <w:sz w:val="18"/>
                <w:szCs w:val="18"/>
                <w:lang w:eastAsia="ru-RU"/>
              </w:rPr>
              <w:t xml:space="preserve">5 «Приложение к балансу предприятия», </w:t>
            </w:r>
            <w:bookmarkStart w:id="7" w:name="e0_7_"/>
            <w:r w:rsidRPr="00383303">
              <w:rPr>
                <w:rFonts w:ascii="Courier New" w:eastAsia="Times New Roman" w:hAnsi="Courier New" w:cs="Courier New"/>
                <w:color w:val="6600CC"/>
                <w:sz w:val="18"/>
                <w:szCs w:val="18"/>
                <w:lang w:eastAsia="ru-RU"/>
              </w:rPr>
              <w:t xml:space="preserve">ф. № </w:t>
            </w:r>
            <w:bookmarkStart w:id="8" w:name="e0_8_"/>
            <w:bookmarkEnd w:id="7"/>
            <w:r w:rsidRPr="00383303">
              <w:rPr>
                <w:rFonts w:ascii="Courier New" w:eastAsia="Times New Roman" w:hAnsi="Courier New" w:cs="Courier New"/>
                <w:color w:val="6600CC"/>
                <w:sz w:val="18"/>
                <w:szCs w:val="18"/>
                <w:lang w:eastAsia="ru-RU"/>
              </w:rPr>
              <w:t>3</w:t>
            </w:r>
            <w:bookmarkEnd w:id="8"/>
            <w:r w:rsidRPr="00383303">
              <w:rPr>
                <w:rFonts w:ascii="Courier New" w:eastAsia="Times New Roman" w:hAnsi="Courier New" w:cs="Courier New"/>
                <w:sz w:val="18"/>
                <w:szCs w:val="18"/>
                <w:lang w:eastAsia="ru-RU"/>
              </w:rPr>
              <w:t xml:space="preserve"> «Отчет о движении фондов и других средств» (ф.№1,2,3,4,5 – приложения А,Б ), </w:t>
            </w:r>
            <w:bookmarkStart w:id="9" w:name="e0_9_"/>
            <w:r w:rsidRPr="00383303">
              <w:rPr>
                <w:rFonts w:ascii="Courier New" w:eastAsia="Times New Roman" w:hAnsi="Courier New" w:cs="Courier New"/>
                <w:color w:val="6600CC"/>
                <w:sz w:val="18"/>
                <w:szCs w:val="18"/>
                <w:lang w:eastAsia="ru-RU"/>
              </w:rPr>
              <w:t xml:space="preserve">ф.№5-з «Отчет о затратах на производство и реализацию продукции (работ, услуг) предприятия» (приложения В,Г ), ф. № </w:t>
            </w:r>
            <w:bookmarkEnd w:id="9"/>
            <w:r w:rsidRPr="00383303">
              <w:rPr>
                <w:rFonts w:ascii="Courier New" w:eastAsia="Times New Roman" w:hAnsi="Courier New" w:cs="Courier New"/>
                <w:sz w:val="18"/>
                <w:szCs w:val="18"/>
                <w:lang w:eastAsia="ru-RU"/>
              </w:rPr>
              <w:t xml:space="preserve">11 «Отчет о наличии и движении основных средств и других нефинансовых активов» (приложения Д, Е), </w:t>
            </w:r>
            <w:bookmarkStart w:id="10" w:name="e0_10_"/>
            <w:r w:rsidRPr="00383303">
              <w:rPr>
                <w:rFonts w:ascii="Courier New" w:eastAsia="Times New Roman" w:hAnsi="Courier New" w:cs="Courier New"/>
                <w:color w:val="6600CC"/>
                <w:sz w:val="18"/>
                <w:szCs w:val="18"/>
                <w:lang w:eastAsia="ru-RU"/>
              </w:rPr>
              <w:t xml:space="preserve">ф. № </w:t>
            </w:r>
            <w:bookmarkEnd w:id="10"/>
            <w:r w:rsidRPr="00383303">
              <w:rPr>
                <w:rFonts w:ascii="Courier New" w:eastAsia="Times New Roman" w:hAnsi="Courier New" w:cs="Courier New"/>
                <w:sz w:val="18"/>
                <w:szCs w:val="18"/>
                <w:lang w:eastAsia="ru-RU"/>
              </w:rPr>
              <w:t>11-</w:t>
            </w:r>
            <w:bookmarkStart w:id="11" w:name="e0_11_"/>
            <w:r w:rsidRPr="00383303">
              <w:rPr>
                <w:rFonts w:ascii="Courier New" w:eastAsia="Times New Roman" w:hAnsi="Courier New" w:cs="Courier New"/>
                <w:color w:val="6600CC"/>
                <w:sz w:val="18"/>
                <w:szCs w:val="18"/>
                <w:lang w:eastAsia="ru-RU"/>
              </w:rPr>
              <w:t xml:space="preserve">ф </w:t>
            </w:r>
            <w:bookmarkEnd w:id="11"/>
            <w:r w:rsidRPr="00383303">
              <w:rPr>
                <w:rFonts w:ascii="Courier New" w:eastAsia="Times New Roman" w:hAnsi="Courier New" w:cs="Courier New"/>
                <w:sz w:val="18"/>
                <w:szCs w:val="18"/>
                <w:lang w:eastAsia="ru-RU"/>
              </w:rPr>
              <w:t xml:space="preserve">«Отчет о наличии и движении основных средств» (для предприятий всех отраслей народного хозяйства, кроме промышленности и строительства), </w:t>
            </w:r>
            <w:bookmarkStart w:id="12" w:name="e0_12_"/>
            <w:r w:rsidRPr="00383303">
              <w:rPr>
                <w:rFonts w:ascii="Courier New" w:eastAsia="Times New Roman" w:hAnsi="Courier New" w:cs="Courier New"/>
                <w:color w:val="6600CC"/>
                <w:sz w:val="18"/>
                <w:szCs w:val="18"/>
                <w:lang w:eastAsia="ru-RU"/>
              </w:rPr>
              <w:t xml:space="preserve">ф. № </w:t>
            </w:r>
            <w:bookmarkEnd w:id="12"/>
            <w:r w:rsidRPr="00383303">
              <w:rPr>
                <w:rFonts w:ascii="Courier New" w:eastAsia="Times New Roman" w:hAnsi="Courier New" w:cs="Courier New"/>
                <w:sz w:val="18"/>
                <w:szCs w:val="18"/>
                <w:lang w:eastAsia="ru-RU"/>
              </w:rPr>
              <w:t xml:space="preserve">БМ «Баланс производственной мощности»; </w:t>
            </w:r>
            <w:bookmarkStart w:id="13" w:name="e0_13_"/>
            <w:r w:rsidRPr="00383303">
              <w:rPr>
                <w:rFonts w:ascii="Courier New" w:eastAsia="Times New Roman" w:hAnsi="Courier New" w:cs="Courier New"/>
                <w:color w:val="6600CC"/>
                <w:sz w:val="18"/>
                <w:szCs w:val="18"/>
                <w:lang w:eastAsia="ru-RU"/>
              </w:rPr>
              <w:t xml:space="preserve">ф. № </w:t>
            </w:r>
            <w:bookmarkEnd w:id="13"/>
            <w:r w:rsidRPr="00383303">
              <w:rPr>
                <w:rFonts w:ascii="Courier New" w:eastAsia="Times New Roman" w:hAnsi="Courier New" w:cs="Courier New"/>
                <w:sz w:val="18"/>
                <w:szCs w:val="18"/>
                <w:lang w:eastAsia="ru-RU"/>
              </w:rPr>
              <w:t>7-</w:t>
            </w:r>
            <w:bookmarkStart w:id="14" w:name="e0_14_"/>
            <w:r w:rsidRPr="00383303">
              <w:rPr>
                <w:rFonts w:ascii="Courier New" w:eastAsia="Times New Roman" w:hAnsi="Courier New" w:cs="Courier New"/>
                <w:color w:val="6600CC"/>
                <w:sz w:val="18"/>
                <w:szCs w:val="18"/>
                <w:lang w:eastAsia="ru-RU"/>
              </w:rPr>
              <w:t xml:space="preserve">ф </w:t>
            </w:r>
            <w:bookmarkEnd w:id="14"/>
            <w:r w:rsidRPr="00383303">
              <w:rPr>
                <w:rFonts w:ascii="Courier New" w:eastAsia="Times New Roman" w:hAnsi="Courier New" w:cs="Courier New"/>
                <w:sz w:val="18"/>
                <w:szCs w:val="18"/>
                <w:lang w:eastAsia="ru-RU"/>
              </w:rPr>
              <w:t xml:space="preserve">«Отчет о запасах неустановленного оборудования, находящегося на складах в капитальном строительстве», </w:t>
            </w:r>
            <w:bookmarkStart w:id="15" w:name="e0_15_"/>
            <w:r w:rsidRPr="00383303">
              <w:rPr>
                <w:rFonts w:ascii="Courier New" w:eastAsia="Times New Roman" w:hAnsi="Courier New" w:cs="Courier New"/>
                <w:color w:val="6600CC"/>
                <w:sz w:val="18"/>
                <w:szCs w:val="18"/>
                <w:lang w:eastAsia="ru-RU"/>
              </w:rPr>
              <w:t xml:space="preserve">ф. № </w:t>
            </w:r>
            <w:bookmarkEnd w:id="15"/>
            <w:r w:rsidRPr="00383303">
              <w:rPr>
                <w:rFonts w:ascii="Courier New" w:eastAsia="Times New Roman" w:hAnsi="Courier New" w:cs="Courier New"/>
                <w:sz w:val="18"/>
                <w:szCs w:val="18"/>
                <w:lang w:eastAsia="ru-RU"/>
              </w:rPr>
              <w:t xml:space="preserve">ПО-1 «Бланк переписи неустановленного оборудования, кроме излишнего», </w:t>
            </w:r>
            <w:bookmarkStart w:id="16" w:name="e0_16_"/>
            <w:r w:rsidRPr="00383303">
              <w:rPr>
                <w:rFonts w:ascii="Courier New" w:eastAsia="Times New Roman" w:hAnsi="Courier New" w:cs="Courier New"/>
                <w:color w:val="6600CC"/>
                <w:sz w:val="18"/>
                <w:szCs w:val="18"/>
                <w:lang w:eastAsia="ru-RU"/>
              </w:rPr>
              <w:t xml:space="preserve">ф. № </w:t>
            </w:r>
            <w:bookmarkEnd w:id="16"/>
            <w:r w:rsidRPr="00383303">
              <w:rPr>
                <w:rFonts w:ascii="Courier New" w:eastAsia="Times New Roman" w:hAnsi="Courier New" w:cs="Courier New"/>
                <w:sz w:val="18"/>
                <w:szCs w:val="18"/>
                <w:lang w:eastAsia="ru-RU"/>
              </w:rPr>
              <w:t xml:space="preserve">ПО-2 «Бланк переписи неустановленного излишнего оборудования», </w:t>
            </w:r>
            <w:bookmarkStart w:id="17" w:name="e0_17_"/>
            <w:r w:rsidRPr="00383303">
              <w:rPr>
                <w:rFonts w:ascii="Courier New" w:eastAsia="Times New Roman" w:hAnsi="Courier New" w:cs="Courier New"/>
                <w:color w:val="6600CC"/>
                <w:sz w:val="18"/>
                <w:szCs w:val="18"/>
                <w:lang w:eastAsia="ru-RU"/>
              </w:rPr>
              <w:t xml:space="preserve">ф. № </w:t>
            </w:r>
            <w:bookmarkEnd w:id="17"/>
            <w:r w:rsidRPr="00383303">
              <w:rPr>
                <w:rFonts w:ascii="Courier New" w:eastAsia="Times New Roman" w:hAnsi="Courier New" w:cs="Courier New"/>
                <w:sz w:val="18"/>
                <w:szCs w:val="18"/>
                <w:lang w:eastAsia="ru-RU"/>
              </w:rPr>
              <w:t xml:space="preserve">1- фонды «Единовременный учет движения основных фондов и использования денежных средств», </w:t>
            </w:r>
            <w:bookmarkStart w:id="18" w:name="e0_18_"/>
            <w:r w:rsidRPr="00383303">
              <w:rPr>
                <w:rFonts w:ascii="Courier New" w:eastAsia="Times New Roman" w:hAnsi="Courier New" w:cs="Courier New"/>
                <w:color w:val="6600CC"/>
                <w:sz w:val="18"/>
                <w:szCs w:val="18"/>
                <w:lang w:eastAsia="ru-RU"/>
              </w:rPr>
              <w:t xml:space="preserve">ф. № </w:t>
            </w:r>
            <w:bookmarkEnd w:id="18"/>
            <w:r w:rsidRPr="00383303">
              <w:rPr>
                <w:rFonts w:ascii="Courier New" w:eastAsia="Times New Roman" w:hAnsi="Courier New" w:cs="Courier New"/>
                <w:sz w:val="18"/>
                <w:szCs w:val="18"/>
                <w:lang w:eastAsia="ru-RU"/>
              </w:rPr>
              <w:t xml:space="preserve">1- переоценка, </w:t>
            </w:r>
            <w:bookmarkStart w:id="19" w:name="e0_19_"/>
            <w:r w:rsidRPr="00383303">
              <w:rPr>
                <w:rFonts w:ascii="Courier New" w:eastAsia="Times New Roman" w:hAnsi="Courier New" w:cs="Courier New"/>
                <w:color w:val="6600CC"/>
                <w:sz w:val="18"/>
                <w:szCs w:val="18"/>
                <w:lang w:eastAsia="ru-RU"/>
              </w:rPr>
              <w:t xml:space="preserve">ф. № </w:t>
            </w:r>
            <w:bookmarkEnd w:id="19"/>
            <w:r w:rsidRPr="00383303">
              <w:rPr>
                <w:rFonts w:ascii="Courier New" w:eastAsia="Times New Roman" w:hAnsi="Courier New" w:cs="Courier New"/>
                <w:sz w:val="18"/>
                <w:szCs w:val="18"/>
                <w:lang w:eastAsia="ru-RU"/>
              </w:rPr>
              <w:t>2-</w:t>
            </w:r>
            <w:bookmarkStart w:id="20" w:name="e0_20_"/>
            <w:r w:rsidRPr="00383303">
              <w:rPr>
                <w:rFonts w:ascii="Courier New" w:eastAsia="Times New Roman" w:hAnsi="Courier New" w:cs="Courier New"/>
                <w:color w:val="6600CC"/>
                <w:sz w:val="18"/>
                <w:szCs w:val="18"/>
                <w:lang w:eastAsia="ru-RU"/>
              </w:rPr>
              <w:t xml:space="preserve">кс </w:t>
            </w:r>
            <w:bookmarkEnd w:id="20"/>
            <w:r w:rsidRPr="00383303">
              <w:rPr>
                <w:rFonts w:ascii="Courier New" w:eastAsia="Times New Roman" w:hAnsi="Courier New" w:cs="Courier New"/>
                <w:sz w:val="18"/>
                <w:szCs w:val="18"/>
                <w:lang w:eastAsia="ru-RU"/>
              </w:rPr>
              <w:t xml:space="preserve">«Отчет о выполнении плана ввода в действие объектов основных фондов и использовании капитальных вложений», журнал-ордер 13, инвентарные карточки учета основных средств, данные проводимых на предприятии инвентаризаций основных средств, а также учета их использования, данные специальных </w:t>
            </w:r>
            <w:r w:rsidRPr="00383303">
              <w:rPr>
                <w:rFonts w:ascii="Courier New" w:eastAsia="Times New Roman" w:hAnsi="Courier New" w:cs="Courier New"/>
                <w:sz w:val="18"/>
                <w:szCs w:val="18"/>
                <w:lang w:eastAsia="ru-RU"/>
              </w:rPr>
              <w:lastRenderedPageBreak/>
              <w:t>обследований и другие источники информации.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1.2 Порядок начисления амортизация и способы переоценки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Основные средства имеют первоначальную, остаточную и восстановительную стоимость. Первоначальная формируется из фактических затрат на их приобретение, сооружение и изготовление, включая расходы по доставке, монтажу и установке. Изменение первоначальной стоимости основных средств допускается лишь в случаях достройки, дооборудования, реконструкции и частичной ликвидации соответствующих объектов.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процессе эксплуатации основные средства теряют свои первоначальные качества, т. е. физически и морально изнашиваются. Соответственно, их фактическая стоимость по мере износа уменьшается на его величину. Остаточная стоимость и будет представлять собой разницу между первоначальной стоимостью и начисленной суммой амортизации (износа).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Основные средства, как уже отмечалось, участвуют в производственном процессе или хозяйственной деятельности длительное время, продолжительность которого определяется многими факторами: прочностью объекта, интенсивностью использования, качеством сервиса, отношением к нему работающего персонала, развитием технического прогресса в стране и т. п. В настоящее время минимальный срок службы объекта является одним из условий для отнесения его к основным средствам не менее одного года, в то же время некоторые объекты рассчитаны на функционирование в течение более 100 лет (например, здания высотные, особо капитальные, каркасно-монолитные, повышенной прочности, каналы судоходные, станции и тоннели метрополитена, железнодорожные тоннели всех конструкций и др.).</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За время эксплуатации основные средства постепенно теряют свои потребительские и физические качества и становятся не пригодными к использованию. То же происходит и при бездействии средств труда вследствие влияния условий хранения и других факторов. Материальное снашивание основных средств носит название физического износа. Наряду с ним существует моральный износ. Он выражается в снижении стоимости основных средств вследствие уменьшения затрат на их воспроизводство, вызванного ростом производительности общественного труда (первая форма), либо в результате снижения стоимости действующих основных средств в связи с созданием новых, более эффективных средств (вторая форма).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За период эксплуатации объекта его стоимость должна быть перенесена на вновь созданный продукт полностью. Но поскольку по сложившейся традиции себестоимость продукции предприятия исчисляют ежемесячно, то и стоимость изношенной части основных средств определяется каждый месяц для включения в затраты в виде амортизации основных средств. Он является средством реализации амортизации как экономического процесса перенесения стоимости изношенной части основных средств на произведенную с их участием продукцию [1.14.20].</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Под восстановительной стоимостью основных средств понимается стоимость их воспроизводства (строительства или приобретения) в современных условиях. Для определения восстановительной стоимости первоначальная стоимость уточняется путем переоценки. Переоценка основных средств по восстановительной стоимости проводится ежегодно по состоянию на 1 января [5.6.7.9].</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Следует отметить некоторые наиболее важные моменты нового Положения «О порядке начисления амортизации основных средств и нематериальных активов», постановление Министерства экономики Республики Беларусь, Министерства финансов Республики Беларусь, Министерства статистики и анализа Республики Беларусь и Министерства архитектуры и строительства Республики Беларусь от 23.11.2001 № 187/110/96/18.</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Амортизация как процесс перенесения стоимости объектов основных средств или их части и нематериальных активов на стоимость продукции (работ, услуг), вырабатываемой с их использованием в процессе предпринимательской деятельности включает в себя: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распределение рациональным (выбранным организацией самостоятельно) способом стоимости объектов основных средств или их части и нематериальных активов между отчетными периодами, составляющими в совокупности срок полезного использования каждого из них;</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lastRenderedPageBreak/>
              <w:t>·          систематическое включение амортизационных отчислений - относящейся к данному отчетному периоду стоимости используемых объектов основных средств или их части и нематериальных активов – в издержки производства или обращения.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Начисление амортизации объектов основных средств или их части и нематериальных активов, не используемых в предпринимательской деятельности коммерческих организаций, отражается за счет собственных источников, образованных из прибыли, остающейся в распоряжении организации после внесения обязательных платежей в республиканский и местные бюджеты, государственные внебюджетные фонды.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Были введены такие новые понятия, как:</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Срок службы - период, в течение которого объект основных средств или нематериальных активов сохраняет свои потребительские свойства.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Нормативный срок службы основных средств - установленный нормативными правовыми актами период, в течение которого потеря стоимости не используемых в предпринимательской деятельности основных средств, призванных служить для целей организации, отражается за счет собственных источников.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Срок полезного использования - ожидаемый или расчетный период эксплуатации основных средств и нематериальных активов в процессе предпринимательской деятельности организации.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Амортизируемая стоимость - стоимость, по которой объекты основных средств и нематериальных активов (бывшие и не бывшие в эксплуатации) числятся в бухгалтерском учете.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Амортизируемая стоимость основных средств изменяется в случаях:</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завершения: модернизации оборудования; технического перевооружения; дооборудования; реконструкции; достройки; капитального ремонта железнодорожного пути с заменой всех элементов верхнего строения пути на новое; капитального ремонта объектов электрических и тепловых сетей (провод, трубопровод, опоры, камеры, каналы), основного энергетического оборудования (турбогенераторы и котлоагрегаты всех видов, трубопроводы, трансформаторы, выключатели) с заменой всех основных элементов, стоимость которых превышает 30 процентов амортизируемой стоимости каждого объекта, на новые;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восстановления по результатам проведенного технического диагностирования и соответствующего освидетельствования - оформленных в качестве капитальных вложений актами сдачи-приемки выполненных работ;</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проведения переоценки основных средств или нематериальных активов по решению Правительства Республики Беларусь.</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Изменение амортизируемой стоимости объектов основных средств производится по решению комиссии, утверждаемой руководителем или собственником из числа специалистов технических, технологических, экономических и бухгалтерских служб организации в соответствии с действующими нормативными правовыми актами.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Норма амортизации - доля (в процентах) стоимости объекта, подлежащая включению в издержки производства и обращения с установленной периодичностью на протяжении срока полезного использования или отнесению за счет соответствующих источников на протяжении установленного нормативного срока службы.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Объектами начисления амортизации (амортизируемым имуществом) являются основные средства и нематериальные активы организаций, как используемые, так и не используемые в предпринимательской деятельности.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Объектами начисления амортизации не являются: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          земля и отдельные объекты природопользования (вода, недра и другие </w:t>
            </w:r>
            <w:r w:rsidRPr="00383303">
              <w:rPr>
                <w:rFonts w:ascii="Courier New" w:eastAsia="Times New Roman" w:hAnsi="Courier New" w:cs="Courier New"/>
                <w:sz w:val="18"/>
                <w:szCs w:val="18"/>
                <w:lang w:eastAsia="ru-RU"/>
              </w:rPr>
              <w:lastRenderedPageBreak/>
              <w:t>природные ресурсы);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отдельные группы и виды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мобилизационные объекты, финансируемые из республиканского или местных бюджетов;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вооружение, военная и специальная техника, находящиеся в Вооруженных Силах, других войсках и воинских формированиях;</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основные средства государственных организаций, находящихся за границей, финансируемых из республиканского бюджета.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Начисление амортизации не производится: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во время проведения модернизации оборудования, технического перевооружения объектов, их дооборудования, полной или частичной реконструкции, достройки, восстановления, технического диагностирования и соответствующего освидетельствования с полной или частичной их остановкой, а также при консервации объектов по решению руководителя организации или собственника на срок менее одного года;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по объектам, не введенным в эксплуатацию или находящимся в запасе (в том числе объектам мобилизационного и государственного резервов, неснижаемого запаса), вооружению, военной и специальной технике и объектам, предназначенным для их хранения.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Нормативный срок службы объектов основных средств, не используемых в предпринимательской деятельности, устанавливается применительно к каждой позиции основных средств, включенной в действующую классификацию. При этом нормативные сроки службы по машинам и оборудованию определены исходя из режима работы в две смены (за исключением оборудования непрерывных производств, кузнечно-прессового оборудования массой свыше 100 тонн, для которых нормы устанавливаются исходя из режима работы в три смены, и лесозаготовительного оборудования, для которого нормы устанавливаются исходя из режима работы в одну смену). Нормативный срок службы по объектам основных средств, не включенным в действующую классификацию, устанавливается решением комиссии на основании технической документации (технических паспортов и т.п.) организаций-изготовителей, а в ее отсутствие - путем оценки технического состояния объекта в соответствии с законодательством.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Нормативный срок службы основных средств, ранее находившихся в эксплуатации, определяется с момента принятия их на учет при первоначальном вводе в эксплуатацию первым балансодержателем или собственником. При отсутствии данных по первоначальному вводу в эксплуатацию срок службы устанавливается комиссией исходя из фактического состояния объекта.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Срок полезного использования объекта основных средств, используемого в предпринимательской деятельности, определяется при его приобретении каждым балансодержателем или собственником по решению комиссии исходя из: ожидаемого физического износа, зависящего от условий производства: режима эксплуатации (количества смен), естественных условий, влияния агрессивной среды, системы проведения ремонтов; морального износа в результате удешевления стоимости или повышения производительности вновь вводимых аналогичных объектов основных средств; утвержденных бизнес-планов или планов технологического обновления и реструктуризации действующего производства; нормативно-правовых и других ограничений использования объекта (например, срока аренды).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вводе в эксплуатацию отдельных объектов основных средств и нематериальных активов, по решению комиссии устанавливается ресурс каждого объекта - количество продукции (работ, услуг) в натуральных показателях, которое в соответствии с технической документацией может быть выпущено (выполнено) на протяжении всего срока эксплуатации объекта. Срок полезного использования данного объекта - период, в течение которого будет выпущено (выполнено) указанное количество продукции (работ, услуг) в натуральных показателях.</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Организация может производить пересмотр нормативных сроков службы и сроков </w:t>
            </w:r>
            <w:r w:rsidRPr="00383303">
              <w:rPr>
                <w:rFonts w:ascii="Courier New" w:eastAsia="Times New Roman" w:hAnsi="Courier New" w:cs="Courier New"/>
                <w:sz w:val="18"/>
                <w:szCs w:val="18"/>
                <w:lang w:eastAsia="ru-RU"/>
              </w:rPr>
              <w:lastRenderedPageBreak/>
              <w:t>полезного использования основных средств с обязательным отражением в учетной политике возможности пересмотра или его результатов в случаях: модернизации оборудования; технического перевооружения; дооборудования; капитального ремонта объектов, реконструкции; достройки; восстановления или изменения срока службы по результатам проведенного технического диагностирования, соответствующего освидетельствования организациями, имеющими специальную лицензию, а также в других случаях предусмотренных действующим законодательством. Пересмотр нормативных сроков службы или сроков полезного использования производится по решению комиссии.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Срок полезного использования основных средств может пересматриваться по решению комиссии при моральном устаревании объекта, либо в случае выявления ошибки в его определении.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Нормативный срок службы или срок полезного использования основных средств, находящихся на консервации по решению руководителя или собственника организации, продлевается на период, в течение которого амортизация по данным объектам не начислялась.</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Отличие условий эксплуатации от заданных при установлении нормативного срока службы или срока полезного использования приводит к повышению или понижению степени физического изнашивания эксплуатируемых основных средств. В связи с этим производится корректировка установленного нормативного срока службы или срока полезного использования.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Диапазоны сроков полезного использования (промежутки между наименьшими и наибольшими значениями сроков полезного действия) и производных от них линейных норм амортизации установлены по группам амортизируемых объектов основных средств и нематериальных активов.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Амортизационные отчисления по объектам, используемым в предпринимательской деятельности, производятся организацией в пределах наибольшего и наименьшего уровней норм, установленных для каждой укрупненной амортизационной группы (объекта)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Наименьший уровень диапазонной нормы амортизационных отчислений, соответствующий наибольшему сроку полезного использования, выбирается организацией по своему усмотрению при освоении рынка, ухудшении возможности реализации продукции (работ, услуг) по причине ценовой конкурентоспособности и по другим причинам с учетом особенностей отдельных видов производства.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Наибольший уровень диапазонной нормы амортизационных отчислений, соответствующий наименьшему сроку полезного использования, применяется организацией по своему усмотрению в случаях высокой конкурентоспособности производимой продукции (нарастание объема продаж, благоприятная конъюнктура рынка) с учетом особенностей отдельных видов производства.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При функционировании основных средств в условиях, отличающихся от принятых при установлении нормативных сроков службы или сроков полезного использования (влияния агрессивной среды, отклонений от установленных базовых режимов работы и других условий), годовая норма амортизации подлежит корректировке путем применения поправочных коэффициентов.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Все объекты, по которым начисляется амортизация, разбиваются на укрупненные амортизационные группы: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здания: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Þ        здания особой капитальности (каркасно-монолитные, каменные с железобетонным или металлическим каркасом особой прочности);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Þ        здания высокой капитальности (бетонные, железобетонные, кирпичные с железобетонными или металлическими перекрытиями);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Þ        здания средней капитальности (кирпичные из облегченной кладки, каркасно-</w:t>
            </w:r>
            <w:r w:rsidRPr="00383303">
              <w:rPr>
                <w:rFonts w:ascii="Courier New" w:eastAsia="Times New Roman" w:hAnsi="Courier New" w:cs="Courier New"/>
                <w:sz w:val="18"/>
                <w:szCs w:val="18"/>
                <w:lang w:eastAsia="ru-RU"/>
              </w:rPr>
              <w:lastRenderedPageBreak/>
              <w:t>панельные, деревянные);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Þ        здания низкой капитальности (сборно-разборные и передвижные деревянные, пленочные);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сооружения (включая дороги), передаточные устройства (включая вычислительные и коммуникационные сети), капитальные вложения в улучшение земель, кроме основных средств горнодобывающей промышленности (горнорудной и нерудных ископаемых, диапазонные сроки полезного использования которых выделены в отдельную группу):</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Þ        сооружения особой капитальности (каркасно-монолитные, каменные с железобетонным или металлическим каркасом особой прочности);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Þ        сооружения высокой капитальности (бетонные, железобетонные, кирпичные с железобетонными или металлическими перекрытиями);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Þ        сооружения средней капитальности (кирпичные из облегченной кладки, каркасно-панельные, деревянные, газопроводы, нефте- и нефтепродуктопроводы, нефтяные и газовые скважины, буферный газ);</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Þ        сооружения низкой капитальности (сборно-разборные и передвижные деревянные, пленочные сооружения);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машины, механизмы, оборудование, включая оборудование связи, измерительные и регулирующие приборы и устройства, рабочий скот;</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вычислительная техника, оргтехника; производственный и хозяйственный инвентарь, инструменты и принадлежности, газовое и огнестрельное оружие, многолетние насаждения, прочие основные средства;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транспортные средства, за исключением воздушных судов (без авиадвигателей), и авиационные двигатели гражданской авиации;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Þ        автомобильный транспорт;</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Þ        водный транспорт;</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Þ        железнодорожный транспорт, включая железнодорожные контейнеры;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Þ        иные виды транспорта;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воздушные суда (без авиадвигателей) и авиационные двигатели гражданской авиации;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основные средства горнодобывающих отраслей промышленности, срок полезного использования которых зависит от сроков отработки запасов полезных ископаемых и которые после отработки запасов без капитального переоборудования не могут быть использованы на другие цели. Сроки полезного использования по ним устанавливаются согласно инструкции о порядке определения норм и начисления амортизации по основным средствам отраслей горнодобывающей промышленности - угольной, сланцевой, горнорудной, по добыче редких, драгоценных металлов, алмазов и нерудных ископаемых в стоимостном выражении на тонну погашаемых запасов (извлекаемые плюс эксплуатационные потери) полезных ископаемых;</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          нематериальные активы.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Теперь предприятия обладают правом выбора того или иного способа начисления амортизации.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Линейный способ заключается в равномерном (по годам) начислении организацией амортизации в течение всего нормативного срока службы или срока полезного </w:t>
            </w:r>
            <w:r w:rsidRPr="00383303">
              <w:rPr>
                <w:rFonts w:ascii="Courier New" w:eastAsia="Times New Roman" w:hAnsi="Courier New" w:cs="Courier New"/>
                <w:sz w:val="18"/>
                <w:szCs w:val="18"/>
                <w:lang w:eastAsia="ru-RU"/>
              </w:rPr>
              <w:lastRenderedPageBreak/>
              <w:t>использования объекта основных средств или нематериальных активов.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линейном способе годовая сумма амортизационных отчислений определяется исходя из амортизируемой стоимости объекта основных средств или нематериальных активов и нормативного срока службы или срока его полезного использования путем умножения амортизируемой стоимости на принятую годовую линейную норму амортизационных отчислений.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Нелинейный способ заключается в неравномерном (по годам) начислении организацией амортизации в течение срока полезного использования объекта основных средств или нематериальных активов.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Объектом применения нелинейного способа начисления амортизации являются: передаточные устройства, рабочие, силовые машины и механизмы, оборудование (включая оборудование связи), вычислительная техника и оргтехника, транспортные средства и другие объекты основных средств, которые непосредственно участвуют в процессе производства продукции (работ, услуг), включая антенны, взлетно-посадочные полосы, измерительные и регулирующие приборы и устройства (устройства системы гражданской авиации, оборудование системы посадки и наземные средства вождения самолета, аппаратура диспетчерского управления специальных видов связи и другие), инструмент, рабочий скот, нематериальные активы, а также объекты лизинга.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Нелинейный способ начисления амортизации не распространяется на следующие виды машин, оборудования и транспортных средств: машины, оборудование и транспортные средства с нормативным сроком службы до 3 лет, легковые автомобили (кроме специальных); отдельные виды оборудования гражданской авиации, срок полезного использования которых определяется исходя из установленных ресурсов; уникальную технику и оборудование, предназначенные для использования только при определенных видах испытаний и производства ограниченного вида конкретной продукции; предметы интерьера, включая офисную мебель; предметы для отдыха, досуга и развлечений.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нелинейном способе годовая сумма амортизационных отчислений рассчитывается методом суммы чисел лет либо методом уменьшаемого остатка с коэффициентом ускорения до 2,5 раза. Нормы начисления амортизации в первом году и каждом из последующих срока полезного использования объекта могут быть различными.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Применение метода суммы чисел лет предполагает определение годовой суммы амортизационных отчислений исходя из амортизируемой стоимости объектов основных средств и нематериальных активов и отношения, в числителе которого - число лет, остающихся до конца срока полезного использования объекта, а в знаменателе - сумма чисел лет срока полезного использования объекта.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Сумма чисел лет срока полезного использования объекта определяется по следующей формуле: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Спи х (Спи + 1)</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СЧЛ= ————————,                                                             (1)</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где СЧЛ - сумма чисел лет выбранного организацией самостоятельно в пределах установленного диапазона срока полезного использования объекта;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Спи - выбранный организацией самостоятельно в пределах установленного диапазона срок полезного использования объекта.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При методе уменьшаемого остатка годовая сумма начисленной амортизации рассчитывается исходя из определяемой на начало отчетного года недоамортизированной стоимости (разности амортизируемой стоимости и суммы начисленной до начала отчетного года амортизации) и нормы амортизации, исчисленной исходя из срока полезного использования объекта и коэффициента ускорения, принятого организацией.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Производительный способ начисления амортизации объекта основных средств или нематериальных активов заключается в начислении организацией амортизации исходя из </w:t>
            </w:r>
            <w:r w:rsidRPr="00383303">
              <w:rPr>
                <w:rFonts w:ascii="Courier New" w:eastAsia="Times New Roman" w:hAnsi="Courier New" w:cs="Courier New"/>
                <w:sz w:val="18"/>
                <w:szCs w:val="18"/>
                <w:lang w:eastAsia="ru-RU"/>
              </w:rPr>
              <w:lastRenderedPageBreak/>
              <w:t>амортизируемой стоимости объекта и отношения натуральных показателей объема продукции (работ, услуг), выпущенной (выполненных) в текущем периоде, к ресурсу объекта.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Амортизационные отчисления рассчитываются производительным способом в каждом отчетном году по следующей формуле:</w:t>
            </w:r>
          </w:p>
          <w:p w:rsidR="00383303" w:rsidRPr="00383303" w:rsidRDefault="00383303" w:rsidP="00383303">
            <w:pPr>
              <w:spacing w:before="100" w:beforeAutospacing="1" w:after="100" w:afterAutospacing="1" w:line="240" w:lineRule="auto"/>
              <w:ind w:left="75" w:right="75"/>
              <w:jc w:val="both"/>
              <w:outlineLvl w:val="5"/>
              <w:rPr>
                <w:rFonts w:ascii="Courier New" w:eastAsia="Times New Roman" w:hAnsi="Courier New" w:cs="Courier New"/>
                <w:b/>
                <w:bCs/>
                <w:sz w:val="15"/>
                <w:szCs w:val="15"/>
                <w:lang w:eastAsia="ru-RU"/>
              </w:rPr>
            </w:pPr>
            <w:r w:rsidRPr="00383303">
              <w:rPr>
                <w:rFonts w:ascii="Courier New" w:eastAsia="Times New Roman" w:hAnsi="Courier New" w:cs="Courier New"/>
                <w:b/>
                <w:bCs/>
                <w:sz w:val="15"/>
                <w:szCs w:val="15"/>
                <w:lang w:eastAsia="ru-RU"/>
              </w:rPr>
              <w:t>                             АС</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AOt = ОПРt х ——————,                                                                (2)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n</w:t>
            </w:r>
          </w:p>
          <w:p w:rsidR="00383303" w:rsidRPr="00383303" w:rsidRDefault="00383303" w:rsidP="00383303">
            <w:pPr>
              <w:spacing w:before="100" w:beforeAutospacing="1" w:after="100" w:afterAutospacing="1" w:line="240" w:lineRule="auto"/>
              <w:ind w:left="75" w:right="75"/>
              <w:jc w:val="both"/>
              <w:outlineLvl w:val="5"/>
              <w:rPr>
                <w:rFonts w:ascii="Courier New" w:eastAsia="Times New Roman" w:hAnsi="Courier New" w:cs="Courier New"/>
                <w:b/>
                <w:bCs/>
                <w:sz w:val="15"/>
                <w:szCs w:val="15"/>
                <w:lang w:eastAsia="ru-RU"/>
              </w:rPr>
            </w:pPr>
            <w:r w:rsidRPr="00383303">
              <w:rPr>
                <w:rFonts w:ascii="Courier New" w:eastAsia="Times New Roman" w:hAnsi="Courier New" w:cs="Courier New"/>
                <w:b/>
                <w:bCs/>
                <w:sz w:val="15"/>
                <w:szCs w:val="15"/>
                <w:lang w:eastAsia="ru-RU"/>
              </w:rPr>
              <w:t>                        Σ ОПРt</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t=1</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где AOt - сумма амортизационных отчислений в году t;</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АС - амортизируемая стоимость объекта;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ОПРt - прогнозируемый в течение срока эксплуатации объекта объем продукции (работ, услуг) в году t;</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t = 1, ..., n - годы срока полезного использования объекта.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Применение линейного, нелинейного или производительного способов начисления амортизации по объектам основных средств одного наименования предусматривает выделение их в отдельные подгруппы.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Амортизационные отчисления по объектам основных средств, используемым в предпринимательской деятельности, производятся на протяжении всего срока полезного использования: при нахождении объектов основных средств в эксплуатации; в простое, в том числе в связи с проведением ремонтов, продолжительностью до трех месяцев - путем ежемесячного включения амортизационных отчислений в издержки производства или обращения; при нахождении объектов основных средств в простое, в том числе в связи с проведением ремонтов, продолжительностью свыше трех месяцев; в запасе; на консервации свыше 1 года - линейным способом исходя из установленного нормативного срока службы с отнесением амортизационных отчислений на внереализационные расходы.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Амортизация по объектам основных средств, не используемым в предпринимательской деятельности, которые в отчетном месяце не эксплуатировались, начисляется за счет соответствующих источников линейным способом исходя из установленных нормативных сроков службы.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Амортизация по объектам основных средств, одновременно используемым в предпринимательской деятельности и в деятельности, не связанной с извлечением дохода, в каждой из этих частей начисляется линейным способом по нормам, рассчитанным исходя из установленных нормативных сроков службы и равных им сроков полезного использования.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Организация, избравшая в текущем году для начисления амортизации по отдельным амортизируемым объектам линейный способ на основе срока полезного использования, не достигающего установленного нормативного срока службы, либо нелинейный способ, вправе предусмотреть в своей учетной политике возможность единовременного перехода в течение отчетного года по решению руководителя или собственника только к линейному способу начисления амортизации исходя из сроков полезного использования, равных установленному нормативному сроку службы, по всем амортизируемым объектам в случае непредвиденного изменения условий производства и реализации продукции (работ, услуг), приводящего к появлению убытков.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Источник финансирования капитальных вложений производственного назначения, жилищного строительства, приобретения и создания нематериальных активов - амортизационный фонд формируется путем накопления включенных в себестоимость </w:t>
            </w:r>
            <w:r w:rsidRPr="00383303">
              <w:rPr>
                <w:rFonts w:ascii="Courier New" w:eastAsia="Times New Roman" w:hAnsi="Courier New" w:cs="Courier New"/>
                <w:sz w:val="18"/>
                <w:szCs w:val="18"/>
                <w:lang w:eastAsia="ru-RU"/>
              </w:rPr>
              <w:lastRenderedPageBreak/>
              <w:t>реализованной продукции (работ, услуг) сумм начисленной амортизации с учетом проведенной индексации.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Учет формирования и использования амортизационного фонда ведется на забалансовых счетах "Амортизационный фонд воспроизводства основных средств" и "Амортизационный фонд воспроизводства нематериальных активов".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 дебету перечисленных забалансовых счетов отражаются суммы, равные величине амортизационных отчислений в составе полной (с учетом коммерческих расходов) себестоимости реализованной продукции (работ, услуг).</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Сумма амортизационных отчислений в составе полной себестоимости реализованной продукции (работ, услуг) рассчитывается умножением удельного веса суммы амортизации (с учетом индексации) в затратах на производство с учетом коммерческих расходов нарастающим итогом с начала отчетного года на полную себестоимость реализованной продукции (работ, услуг).</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 кредиту забалансового счета "Амортизационный фонд воспроизводства основных средств" отражается использование средств амортизационного фонда, равное сумме фактически произведенных в отчетном периоде капитальных вложений производственного назначения.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При отсутствии прибыли, остающейся в распоряжении организации после уплаты налогов и других обязательных платежей в республиканский и местные бюджеты и государственные внебюджетные фонды, перерасход амортизационного фонда отражается организацией со знаком "минус" на соответствующих забалансовых счетах, а также в бухгалтерской отчетности.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целях своевременного обеспечения экономически обоснованных условий воспроизводства основных средств, используемых в предпринимательской деятельности организаций, применяющих линейный способ начисления амортизации (как по всем, так и по отдельным объектам, кроме функционирующих у индивидуальных предпринимателей), допускается текущая индексация амортизационных отчислений. Индексация способствует избежанию резких колебаний величины амортизационных отчислений в результате периодической переоценки основных средств и ее влияния на изменение финансово-экономических показателей работы организаций по не зависящим от них причинам.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Право ежемесячной индексации амортизационных отчислений по объектам, используемым в предпринимательской деятельности, принимаемой в расчет при ценообразовании, предоставляется всем организациям, если уровень инфляции по индексу потребительских цен за предшествующий месяц к предыдущему месяцу составил не менее 2 процентов.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Сумма индексации амортизационных отчислений при формировании цен на производимую продукцию (работы, услуги) на каждый месяц рассчитывается исходя из индекса изменения цен на продукцию производственно-технического назначения за предшествующий месяц к декабрю предыдущего года.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Если уровень инфляции по индексу потребительских цен за предшествующий месяц не превысил 2 процентов, отражение суммы индексации в отчетном месяце при ценообразовании производится исходя из индекса изменения цен на продукцию производственно-технического назначения, использовавшегося при предыдущей индексации.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Применительно к основным средствам, состоящим на балансе организации на 1 января текущего года, отражение результатов индексации амортизационных отчислений в бухгалтерском учете производится ежемесячно исходя из начисленной за месяц суммы амортизации и индекса изменения цен на продукцию производственно-технического назначения за отчетный месяц по отношению к декабрю предыдущего года, публикуемого Министерством статистики и анализа Республики Беларусь в месяце, следующем за отчетным (вне зависимости от уровня потребительских цен).</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проведении переоценки на сумму индексации делается запись по дебету счета 88 "Фонды специального назначения" и кредиту счета 02 «Амортизация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При превышении годовой суммы амортизационных отчислений, рассчитанной с учетом их ежемесячной индексации, над суммой амортизации, полученной по результатам переоценки основных средств, на величину превышения делается сторнировочная запись по дебету </w:t>
            </w:r>
            <w:r w:rsidRPr="00383303">
              <w:rPr>
                <w:rFonts w:ascii="Courier New" w:eastAsia="Times New Roman" w:hAnsi="Courier New" w:cs="Courier New"/>
                <w:sz w:val="18"/>
                <w:szCs w:val="18"/>
                <w:lang w:eastAsia="ru-RU"/>
              </w:rPr>
              <w:lastRenderedPageBreak/>
              <w:t>счетов 20 «Основное производство», 23 "Вспомогательные производства", 25 «Общепроизводственные расходы», 26 "Общехозяйственные расходы", 43 «Коммерческие расходы», 44 "Издержки обращения" в корреспонденции с кредитом счета 88 "Фонды специального назначения". Одновременно производится пересчет и корректировка суммы начисленного за год амортизационного фонда сторнировочной записью по дебету забалансового счета "Амортизационный фонд воспроизводства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В случае, если сумма амортизации, исчисленная по результатам переоценки, превышает сумму фактически произведенных амортизационных отчислений с учетом индексации, размер амортизационного фонда не пересматривается.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Новое положение о порядке начисления амортизации основных средств предоставляет больше возможностей предприятию как в определении сроков полезного использования, так и в выборе способов начисления амортизации, возможности проводить гибкую амортизационную политику, но главное – отражение фактически сформированного амортизационного фонда. Однако, насколько действенным окажется новое положение покажет время.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Целью переоценки основных средств является приведение их балансовой стоимости в соответствие со складывающимся уровнем цен. Переоценка основных средств проводится по состоянию на 1 января каждого года, то есть исходя из уровня цен на эту дату с учетом изменений их реальной стоимости за период с 1 января прошлого года по 1 января отчётного года и одновременным отражением результатов переоценки в балансах хозяйственной деятельности организаций. Переоценке подлежат всё основные средства, числящиеся на балансе организации, независимо от их технического состояния (степени износа), как действующие, так и находящиеся в запасе (резерве на складе), консервации, основные средства, сданные в аренду или безвозмездное пользование, — здания (кроме жилищного фонда), сооружения, передаточные устройства, рабочие и силовые машины и оборудование, измерительные и регулирующие приборы и устройства, вычислительная техника, транспортные средства, инструмент, производственный и хозяйственный инвентарь и принадлежности, рабочий скот и прочие основные средства.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Подлежат переоценке также основные средства, подготовленные к списанию ввиду их физического или морального износа, но не оформленные в установленном порядке соответствующими актами.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Переоценка основных средств, сданных в аренду либо в безвозмездное пользование, осуществляется организацией, на балансе которой числится это имущество, по согласованию с другой стороной, участвующей в договоре аренды, безвозмездного пользования.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Не подлежат переоценке: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находящиеся в собственности организаций земельные участки, объекты природопользования;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библиотечные фонды;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объекты лизинга в период действия договора лизинга.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переоценке изменяются: первоначальная стоимость (после переоценки называемая восстановительной стоимостью), остаточная стоимость и сумма износа основных средств. При этом процент износа не изменяется, то есть пропорциональное соотношение восстановительной стоимости, остаточной стоимости после переоценки и суммы износа после переоценки должно сохраниться таким же, как и до переоценки.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Восстановительная стоимость основных средств, установленная при переоценке, считается первоначальной стоимостью после ее отражения в бухгалтерском учете. Восстановительная стоимость каждого объекта основных средств определяется по усмотрению организации одним из методов: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методом прямого пересчета стоимости отдельных объектов в цены, сложившиеся на 1 января 2002 года на новые объекты, аналогичные оцениваемым и подтвержденные документально организацией, самостоятельно осуществляющей переоценку, или субъектами </w:t>
            </w:r>
            <w:r w:rsidRPr="00383303">
              <w:rPr>
                <w:rFonts w:ascii="Courier New" w:eastAsia="Times New Roman" w:hAnsi="Courier New" w:cs="Courier New"/>
                <w:sz w:val="18"/>
                <w:szCs w:val="18"/>
                <w:lang w:eastAsia="ru-RU"/>
              </w:rPr>
              <w:lastRenderedPageBreak/>
              <w:t>хозяйствования, занимающимися оценочной деятельностью (далее — метод прямой оценки);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методом индексации первоначальной стоимости отдельных объектов с применением коэффициентов (индексов) пересчета стоимости основных средств, дифференцированных по группам основных средств, периодам ввода в эксплуатацию (далее — индексный метод).</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Кроме того, восстановительная стоимость импортированных основных средств, изготовленных зарубежными производителями, приобретенных за иностранную валюту, по усмотрению организации может быть определена либо методом прямой оценки, либо индексным методом, либо путем пересчета их первоначальной стоимости в иностранной валюте по курсу Национального банка Республики Беларусь по состоянию на 31 декабря 2001 года.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Для документального подтверждения восстановительной стоимости объектов при применении метода прямой оценки по состоянию на 1 января 2002 года могут быть использованы следующие документы и материалы: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справки о стоимости производства аналогичных видов основных средств от организаций-изготовителей (с учетом расходов по приобретению, доставке, монтажу и установке);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справки от торгующих организаций об уровне цен;</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сведения об уровне цен на основные средства, опубликованные в средствах массовой информации и специальной литературе;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сведения об уровне цен на основные средства, опубликованные в информационном бюллетене «Цены и тарифы», издаваемом ежемесячно информационно-аналитическим центром по ценам научно-исследовательского экономического института Министерства экономики Республики Беларусь, либо представленные этим центром по запросу организации;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заключения о восстановительной стоимости зданий, сооружений и других объектов, входящих в состав основных средств, подготовленные субъектами хозяйствования, занимающимися оценочной деятельностью.</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применении метода прямой оценки могут быть использованы документально подтвержденные сведения о цене соответствующего объекта в иностранной валюте на дату переоценки, которая пересчитывается по курсу Национального банка Республики Беларусь на 31 декабря 2001 года.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применении метода прямой оценки используются сведения об уровне цен на основные средства без учета налога на добавленную стоимость.</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применении метода прямой оценки для объектов, снятых с производства, цены и затраты на изготовление точной копии которых в современных условиях установить затруднительно, их восстановительная стоимость определяется как стоимость замещения, на основе восстановительной стоимости аналогичных выпускаемых машин, оборудования и других объектов. При этом за основу берется соотношение важнейших эксплуатационных характеристик ранее выпускавшихся и современных объектов.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Документы и материалы, являющиеся основанием для переоценки основных средств методом прямой оценки, сохраняются вместе с другими документами по переоценке.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Сумма износа основных средств определяется исходя из восстановительной стоимости, полученной в результате переоценки, и степени (процента) их износа по данным бухгалтерского учета до проведения переоценки по состоянию на 1 января 2001 года. Остаточная стоимость основных средств при переоценке определяется как разность между восстановительной стоимостью и переоцененной суммой износа.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Для проведения переоценки в организациях приказом руководителя создаются комиссии. Первичным документом по проведению переоценки основных средств является ведомость переоценки основных средств по состоянию на 1 января 2001 года.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Ведомость составляется на основании инвентаризационных описей, инвентарных </w:t>
            </w:r>
            <w:r w:rsidRPr="00383303">
              <w:rPr>
                <w:rFonts w:ascii="Courier New" w:eastAsia="Times New Roman" w:hAnsi="Courier New" w:cs="Courier New"/>
                <w:sz w:val="18"/>
                <w:szCs w:val="18"/>
                <w:lang w:eastAsia="ru-RU"/>
              </w:rPr>
              <w:lastRenderedPageBreak/>
              <w:t>карточек учета основных средств, технических паспортов и другой технической документации. В ведомости переоценки записи производятся отдельно по каждому объекту.</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После окончания работ по переоценке составляется «Акт о результатах переоценки». Акт подписывается комиссией по переоценке основных средств и утверждается руководителем организации. Результаты переоценки отражаются в бухгалтерском учете по состоянию на 1 января 2009 года.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условиях высокой инфляции возникает необходимость неоднократных переоценок основных фондов с целью определенной компенсации их обесценивания и ослабления некоторых негативных тенденций в структуре затрат. Анализ показывает, что основной причиной несовершенства действующей методики переоценки является использование коэффициентов, рассчитанных на основе изменения цен на продукцию машиностроения, имеющую лишь отдаленное соответствие номенклатуре активной части основных фондов предприятий, что в значительной мере искажает их переоцененную стоимость.</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На практике приходится иметь дело со значительными ценовыми искажениями, при которых стоимость бывшего в употреблении либо полностью изношенного оборудования после переоценки вплотную приближается, а порой превышает цену нового аналогичного оборудования (станки, приборы, вычислительная техника, транспортные средства).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Изменение остаточной стоимости основных средств влияет на размер налога на недвижимость, в свою очередь сумма налога на недвижимость влияет на налогооблагаемую прибыль.</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Обобщение опыта переоценки основных фондов в экономически развитых странах позволяет отметить, что преимущественной формой оценки основных фондов являются рыночные методы [29.30].</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Руководство многих предприятий поняло преимущество планирования результатов переоценки и все чаще стало обращаться к независимым экспертам-оценщикам. Метод прямой оценки применяется к активам различных субъектов хозяйствования: банков в целом и их отдельных филиалов, крупнейших заводов республики и малых предприятий независимо от форм собственности. При этом возможна оценка как одного компьютера, или же сотен единиц различного оборудования так и целых заводов.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На ОАО «Гомельдрев» ДОК переоценка ведётся индексным методом. Но при его применении на предприятии сложилась ситуация, когда стоимость довольно старого отечественного станка, скорректированная путём переоценки, оказывается намного больше стоимости нового современного импортного оборудования.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Так, Белорусским обществом оценщиков, было проведено сравнительное исследование переоценки офисного оборудования несколькими методами [31]. Во-первых, такой вид активов присутствует практически у любого субъекта хозяйствования. Во-вторых, в силу своей высокой технологичности офисное оборудование подвержено быстрому функциональному (моральному) износу, выражающемся в большом уменьшении стоимости. В-третьих, коэффициенты (индексы) пересчета стоимости основных средств для него не отслеживаются, из-за чего при переоценке индексным методом необходимо использовать индекс группы 15. При этом по результатам переоценки более 1000 единиц офисного оборудования стоимость отдельной единицы в большинстве случаев оказалась завышенной в 2 и более раз. Подводя итоги этому исследованию были сделаны следующие выводы: при переоценке офисного оборудования индексным методом практически всегда (в 94%) результат не совпадает с результатами полученными методами прямой оценки, а в большинстве случаев превышение составляет 2 и более раз (1,4 – 5,7).</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Таким образом, при формировании учетной политики предприятия необходимо уделить должное внимание выбору того или иного метода переоценки основных средств, так как завышение восстановительной стоимости влечет за собой увеличение себестоимости продукции и как следствие потерю конкурентоспособности.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1.3 Показатели и методика анализа эффективности использования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Оценку эффективности использования основных средств целесообразно начинать с оценки эффективности использования оборудования, как наиболее активной их части.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Оборудование – наиболее активная часть основных фондов. Возрастание его удельного </w:t>
            </w:r>
            <w:r w:rsidRPr="00383303">
              <w:rPr>
                <w:rFonts w:ascii="Courier New" w:eastAsia="Times New Roman" w:hAnsi="Courier New" w:cs="Courier New"/>
                <w:sz w:val="18"/>
                <w:szCs w:val="18"/>
                <w:lang w:eastAsia="ru-RU"/>
              </w:rPr>
              <w:lastRenderedPageBreak/>
              <w:t>веса считается прогрессивной тенденцией. В процессе анализа наряду с исчислением доли среднегодовой стоимости активной части промышленно-производственных основных фондов устанавливается количественная обеспеченность предприятия машинами и оборудованием, определяется их технический уровень и соответствие лучшим мировым образцам.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Устанавливается степень выполнения мероприятий по внедрению новой техники, способствующей повышению уровня механизации и автоматизации производства. Определяется доля прогрессивного оборудования в общем его количестве и по каждой группе машин и оборудования. Выясняется удельный вес стоимости автоматизированного оборудования и измерительных приборов, а также стоимость модернизированного оборудования и измерительных приборов в общей стоимости всего оборудования и измерительных приборов. По этим и другим показателям технического уровня основных фондов фактические данные сравниваются с плановыми.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Оборудование включает соответственно следующие главные составляющие: наличное, установленное и действующее. К наличному относится все имеющееся на предприятии оборудование независимо от того, где оно находится (в цехах, на складе) и в каком состоянии, к установленному - смонтированное и подготовленное к работе оборудование, находящееся в цехах, причем часть установленного оборудования может быть в резерве, на консервации, в плановом ремонте, модернизации. Действующее оборудование - это фактически работающее в отчетном периоде оборудование независимо от продолжительности.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Задача наиболее полного использования оборудования заключается в том, чтобы свести к минимуму количество неустановленного бездействующего оборудования. Сокращение количества неустановленного оборудования, ускорение ввода в действие новых машин повышает темпы наращивания производственных мощностей, способствует лучшему использованию средств производства. С этой целью необходимо сближение величин, характеризующих количество наличного, установленного и работающего оборудования.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Повышение эффективности использования работающего оборудования обеспечивается двумя путями: экстенсивным (по времени) и интенсивным (по мощности),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Показатели, характеризующие экстенсивный путь использования оборудования, - количество оборудования, в том числе доля бездействующих средств труда, отработанное время (машино-ч), коэффициент сменности работы оборудования, структура парка машин и станков.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Интенсивное использование оборудования характеризуется показателями выпуска продукции за 1 машино-ч (или на рубль), т.е. его производительностью.</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Анализ экстенсивного использования оборудования связан с рассмотрением баланса времени его работы, которым включает следующие фонды времени: календарный, режимный, возможный, плановый и фактический.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Календарный фонд времени (максимально возможный) рассчитывается как произведение числа календарных дней в отчетном периоде на 24 ч и на количество единиц установленного оборудования. Таким образом, этот фонд времени определяется исходя из непрерывной круглосуточной работы всех единиц оборудования. В аналитических расчетах он не может быть использован, поскольку не отражает действительно возможного времени работы оборудования в связи с тем, что оно требует ремонта и не может эксплуатироваться все одновременно.</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Фактический фонд - время, действительно затраченное на выпуск продукции, т.е, количество фактически отработанных машино-ч.</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Совокупность фондов времени дает возможность проанализировать время работы оборудования. Так, сравнение календарного и режимного фондов времени позволяет установить возможности лучшего использования оборудования за счет повышения коэффициента сменности, а режимного и возможного - за счет лучшего использования оборудования путем сокращения затрат времени на ремонт в рабочее время. Уровень использования времени работы оборудования оценивают как в целом по предприятию, так и по цехам, конкретным машинам, поточным нитям, робототехническим комплексам и т.д.</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Коэффициент сменности работы оборудования (Ксм), характеризующий экстенсивное его использование, рассчитывается как отношение суммы отработанных машино-смен в сутках </w:t>
            </w:r>
            <w:r w:rsidRPr="00383303">
              <w:rPr>
                <w:rFonts w:ascii="Courier New" w:eastAsia="Times New Roman" w:hAnsi="Courier New" w:cs="Courier New"/>
                <w:sz w:val="18"/>
                <w:szCs w:val="18"/>
                <w:lang w:eastAsia="ru-RU"/>
              </w:rPr>
              <w:lastRenderedPageBreak/>
              <w:t>ко всему количеству установленного оборудования (включая резервное и находящееся в плановом ремонте).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Этот коэффициент показывает, сколько смен проработала единица оборудования. Чем он выше, тем больше оборудования работает в течение суток и тем больше выпускается продукции.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процессе анализа изучаются также данные о максимальном среднесменном съеме продукции с единицы оборудования. Это позволяет видеть наивысшие достижения и возможности роста производительности отдельных единиц и групп оборудования. Анализируют динамику среднего съема продукции с единицы оборудования. Это даёт возможность установить тенденцию изменения производительности каждой единицы оборудования. Сравнивают фактически достигнутый уровень его производительности с технической мощностью и паспортной.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Под производственной мощностью предприятия понимается максимально возможный выпуск продукции при достигнутом и намеченном уровне техники, технологии, форм организации трудя и производства с учетом прогрессивных норм трудовых затрат и в условиях наиболее эффективного использования всех средств производства. Таким образом, производственная мощность - максимально потенциальная возможность выпуска продукции данным предприятием за отчетный период.</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Производственная мощность не является какой-то постоянной величиной, она изменяется вместе с совершенствованием техники, технологии и организации производства.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Производственная мощность предприятия рассчитывается на основании технических норм выработки или проектных показателей производительности оборудования, агрегатов, машин, установок и использования площадей, трудоемкости изделий, норм выхода продукции из сырья с учетом применения самой передовой технологии и самой совершенной организации производства и труда.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Для предприятий с непрерывным процессом производства - число календарных дней в году по 24 рабочих часа в сутки за вычетом времени, необходимого для проведения капитальных и планово-предупредительных ремонтов и технологических остановок оборудования и агрегатов, если эти остановки не входят в нормы работы техники;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Для предприятий с прерывным процессом производства - календарный фонд времени работы оборудования, исходя из соответствующей сменности и установленной продолжительности смен в часах за вычетом времени, необходимого для проведения капитальных и планово-предупредительных ремонтов, времени выходных и праздничных дней, сокращения рабочего времени в предпраздничные дни,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 новым предприятиям и объектам, введенным в действие, но не освоившим проектные мощности, в расчетах принимается мощность по утвержденному проекту (при необходимости пересчитанная по номенклатуре и ассортименту продукции планового периода).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Анализ использования всего производственного потенциала предприятия проводится по данным планового и отчетного балансов производственных мощностей, которые составляются в натуральных показателях и в стоимостном выражении в сопоставимых ценах по всей выпускаемой продукции.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Плановый (фактический) коэффициент использования производственной мощности определяется как отношение планируемого (фактического) годового выпуска продукции к среднегодовой мощности.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Сравнение фактического коэффициента использования производственной мощности с плановым и за предшествующий год позволяет установить изменение степени использования производственных мощностей, причины этих изменений. Низкий коэффициент использования производственной мощности свидетельствует о наличии неиспользованных возможностей увеличения выпуска продукции без ввода дополнительных мощностей и новых капитальных вложений. Повысить этот коэффициент можно в результате выполнения плана технического и организационного развития производства, повышения коэффициента сменности, ликвидации узких мест в производстве, уменьшения простоев оборудования, улучшения организации труда, обеспечения сырьем, материалами, комплектующими.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lastRenderedPageBreak/>
              <w:t>Обобщающими показателями технического состояния основных фондов являются коэффициенты износа и годности.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Коэффициент износа (К</w:t>
            </w:r>
            <w:r w:rsidRPr="00383303">
              <w:rPr>
                <w:rFonts w:ascii="Courier New" w:eastAsia="Times New Roman" w:hAnsi="Courier New" w:cs="Courier New"/>
                <w:sz w:val="18"/>
                <w:szCs w:val="18"/>
                <w:vertAlign w:val="subscript"/>
                <w:lang w:eastAsia="ru-RU"/>
              </w:rPr>
              <w:t>и</w:t>
            </w:r>
            <w:r w:rsidRPr="00383303">
              <w:rPr>
                <w:rFonts w:ascii="Courier New" w:eastAsia="Times New Roman" w:hAnsi="Courier New" w:cs="Courier New"/>
                <w:sz w:val="18"/>
                <w:szCs w:val="18"/>
                <w:lang w:eastAsia="ru-RU"/>
              </w:rPr>
              <w:t>) определяется как отношение суммы износа к первоначальной стоимости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4BF0E1A9" wp14:editId="730DFC10">
                  <wp:extent cx="4124325" cy="504825"/>
                  <wp:effectExtent l="0" t="0" r="9525" b="9525"/>
                  <wp:docPr id="1" name="Рисунок 1" descr="http://www.bestreferat.ru/images/paper/14/20/53920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estreferat.ru/images/paper/14/20/5392014.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24325" cy="504825"/>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(3)</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Коэффициент годности (К</w:t>
            </w:r>
            <w:r w:rsidRPr="00383303">
              <w:rPr>
                <w:rFonts w:ascii="Courier New" w:eastAsia="Times New Roman" w:hAnsi="Courier New" w:cs="Courier New"/>
                <w:sz w:val="18"/>
                <w:szCs w:val="18"/>
                <w:vertAlign w:val="subscript"/>
                <w:lang w:eastAsia="ru-RU"/>
              </w:rPr>
              <w:t>г</w:t>
            </w:r>
            <w:r w:rsidRPr="00383303">
              <w:rPr>
                <w:rFonts w:ascii="Courier New" w:eastAsia="Times New Roman" w:hAnsi="Courier New" w:cs="Courier New"/>
                <w:sz w:val="18"/>
                <w:szCs w:val="18"/>
                <w:lang w:eastAsia="ru-RU"/>
              </w:rPr>
              <w:t>) – это отношение их остаточной стоимости к первоначальной: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7A8BF2B0" wp14:editId="65EA33F6">
                  <wp:extent cx="4210050" cy="523875"/>
                  <wp:effectExtent l="0" t="0" r="0" b="9525"/>
                  <wp:docPr id="2" name="Рисунок 2" descr="http://www.bestreferat.ru/images/paper/15/20/53920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www.bestreferat.ru/images/paper/15/20/5392015.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10050" cy="523875"/>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(4)</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Обобщающую оценку движения основных фондов дают коэффициенты обновления, выбытия, прироста и воспроизводства, которые также характеризуют техническое состояние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Коэффициент обновления (К</w:t>
            </w:r>
            <w:r w:rsidRPr="00383303">
              <w:rPr>
                <w:rFonts w:ascii="Courier New" w:eastAsia="Times New Roman" w:hAnsi="Courier New" w:cs="Courier New"/>
                <w:sz w:val="18"/>
                <w:szCs w:val="18"/>
                <w:vertAlign w:val="subscript"/>
                <w:lang w:eastAsia="ru-RU"/>
              </w:rPr>
              <w:t>о</w:t>
            </w:r>
            <w:r w:rsidRPr="00383303">
              <w:rPr>
                <w:rFonts w:ascii="Courier New" w:eastAsia="Times New Roman" w:hAnsi="Courier New" w:cs="Courier New"/>
                <w:sz w:val="18"/>
                <w:szCs w:val="18"/>
                <w:lang w:eastAsia="ru-RU"/>
              </w:rPr>
              <w:t xml:space="preserve">) отражает интенсивность обновления основных фондов и исчисляется следующим образом: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64D83F1A" wp14:editId="56F9C75F">
                  <wp:extent cx="5324475" cy="495300"/>
                  <wp:effectExtent l="0" t="0" r="9525" b="0"/>
                  <wp:docPr id="3" name="Рисунок 3" descr="http://www.bestreferat.ru/images/paper/16/20/5392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www.bestreferat.ru/images/paper/16/20/5392016.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324475" cy="495300"/>
                          </a:xfrm>
                          <a:prstGeom prst="rect">
                            <a:avLst/>
                          </a:prstGeom>
                          <a:noFill/>
                          <a:ln>
                            <a:noFill/>
                          </a:ln>
                        </pic:spPr>
                      </pic:pic>
                    </a:graphicData>
                  </a:graphic>
                </wp:inline>
              </w:drawing>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Коэффициенты обновления целесообразно рассчитывать по всем основным фондам, промышленно-производственным, активной их части, отдельным группам промышленно-производственных основных фондов и основным видам оборудования. Их также можно рассчитывать отдельно по всем поступившим основным фондам и отдельно по введенным в действие. В последнем случае такой коэффициент следует назвать коэффициентом ввода (К</w:t>
            </w:r>
            <w:r w:rsidRPr="00383303">
              <w:rPr>
                <w:rFonts w:ascii="Courier New" w:eastAsia="Times New Roman" w:hAnsi="Courier New" w:cs="Courier New"/>
                <w:sz w:val="18"/>
                <w:szCs w:val="18"/>
                <w:vertAlign w:val="subscript"/>
                <w:lang w:eastAsia="ru-RU"/>
              </w:rPr>
              <w:t>в</w:t>
            </w:r>
            <w:r w:rsidRPr="00383303">
              <w:rPr>
                <w:rFonts w:ascii="Courier New" w:eastAsia="Times New Roman" w:hAnsi="Courier New" w:cs="Courier New"/>
                <w:sz w:val="18"/>
                <w:szCs w:val="18"/>
                <w:lang w:eastAsia="ru-RU"/>
              </w:rPr>
              <w:t>).</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проведении анализа необходимо сравнить коэффициент обновления по активной части с коэффициентом обновления по всем основным фондам (промышленно-производственным) и выяснить, за счёт какой части основных фондов в большей степени происходит её обновление. Более высокий коэффициент обновления по активной части, чем по всем основным фондам, покажет, что их обновление на предприятии осуществляется как раз за счёт активной части и положительно при прочих равных условиях повлияет на показатель фондоотдачи.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Обновление основных фондов может происходить как за счёт приобретения новых, так и за счёт модернизации имеющихся, что более предпочтительно, поскольку в этом случае сохраняется овеществлённый труд в конструктивных элементах и узлах, не подлежащих замене.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Обновление техники характеризует также коэффициент автоматизации (К</w:t>
            </w:r>
            <w:r w:rsidRPr="00383303">
              <w:rPr>
                <w:rFonts w:ascii="Courier New" w:eastAsia="Times New Roman" w:hAnsi="Courier New" w:cs="Courier New"/>
                <w:sz w:val="18"/>
                <w:szCs w:val="18"/>
                <w:vertAlign w:val="subscript"/>
                <w:lang w:eastAsia="ru-RU"/>
              </w:rPr>
              <w:t>авт</w:t>
            </w:r>
            <w:r w:rsidRPr="00383303">
              <w:rPr>
                <w:rFonts w:ascii="Courier New" w:eastAsia="Times New Roman" w:hAnsi="Courier New" w:cs="Courier New"/>
                <w:sz w:val="18"/>
                <w:szCs w:val="18"/>
                <w:lang w:eastAsia="ru-RU"/>
              </w:rPr>
              <w:t>), рассчитываемый по формуле: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47627C2D" wp14:editId="28429D12">
                  <wp:extent cx="4286250" cy="542925"/>
                  <wp:effectExtent l="0" t="0" r="0" b="9525"/>
                  <wp:docPr id="4" name="Рисунок 4" descr="http://www.bestreferat.ru/images/paper/17/20/53920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www.bestreferat.ru/images/paper/17/20/5392017.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0" cy="542925"/>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(6)</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Коэффициент выбытия (К</w:t>
            </w:r>
            <w:r w:rsidRPr="00383303">
              <w:rPr>
                <w:rFonts w:ascii="Courier New" w:eastAsia="Times New Roman" w:hAnsi="Courier New" w:cs="Courier New"/>
                <w:sz w:val="18"/>
                <w:szCs w:val="18"/>
                <w:vertAlign w:val="subscript"/>
                <w:lang w:eastAsia="ru-RU"/>
              </w:rPr>
              <w:t>выб</w:t>
            </w:r>
            <w:r w:rsidRPr="00383303">
              <w:rPr>
                <w:rFonts w:ascii="Courier New" w:eastAsia="Times New Roman" w:hAnsi="Courier New" w:cs="Courier New"/>
                <w:sz w:val="18"/>
                <w:szCs w:val="18"/>
                <w:lang w:eastAsia="ru-RU"/>
              </w:rPr>
              <w:t>) характеризует степень интенсивности выбытия основных фондов из сферы производства и рассчитывается как: (7)</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lastRenderedPageBreak/>
              <w:drawing>
                <wp:inline distT="0" distB="0" distL="0" distR="0" wp14:anchorId="1E908366" wp14:editId="290D9AF3">
                  <wp:extent cx="5305425" cy="495300"/>
                  <wp:effectExtent l="0" t="0" r="9525" b="0"/>
                  <wp:docPr id="5" name="Рисунок 5" descr="http://www.bestreferat.ru/images/paper/18/20/539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www.bestreferat.ru/images/paper/18/20/5392018.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05425" cy="495300"/>
                          </a:xfrm>
                          <a:prstGeom prst="rect">
                            <a:avLst/>
                          </a:prstGeom>
                          <a:noFill/>
                          <a:ln>
                            <a:noFill/>
                          </a:ln>
                        </pic:spPr>
                      </pic:pic>
                    </a:graphicData>
                  </a:graphic>
                </wp:inline>
              </w:drawing>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Коэффициенты выбытия целесообразно рассчитывать по всем основным фондам, промышленно-производственным фондам, активной их части, отдельным группам промышленно-производственных основных фондов и основным видам оборудования. Их также можно рассчитывать отдельно по всем выбывшим основным фондам и отдельно по ликвидированным. В последнем случае такой коэффициент следует назвать коэффициентом ликвидности (К</w:t>
            </w:r>
            <w:r w:rsidRPr="00383303">
              <w:rPr>
                <w:rFonts w:ascii="Courier New" w:eastAsia="Times New Roman" w:hAnsi="Courier New" w:cs="Courier New"/>
                <w:sz w:val="18"/>
                <w:szCs w:val="18"/>
                <w:vertAlign w:val="subscript"/>
                <w:lang w:eastAsia="ru-RU"/>
              </w:rPr>
              <w:t>ликв</w:t>
            </w:r>
            <w:r w:rsidRPr="00383303">
              <w:rPr>
                <w:rFonts w:ascii="Courier New" w:eastAsia="Times New Roman" w:hAnsi="Courier New" w:cs="Courier New"/>
                <w:sz w:val="18"/>
                <w:szCs w:val="18"/>
                <w:lang w:eastAsia="ru-RU"/>
              </w:rPr>
              <w:t>).</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проведении анализа необходимо сравнить коэффициент выбытия по активной части с коэффициентом выбытия по всем основным фондам (промышленно-производственным) и выяснить, за счёт какой части происходит её выбытие. Более высокий коэффициент выбытия по активной части, чем по всем основным фондам, покажет, что их выбытие на предприятии осуществляется как раз за счёт активной части и отрицательно при прочих равных условиях повлияет на показатель фондоотдачи.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Коэффициент прироста (К</w:t>
            </w:r>
            <w:r w:rsidRPr="00383303">
              <w:rPr>
                <w:rFonts w:ascii="Courier New" w:eastAsia="Times New Roman" w:hAnsi="Courier New" w:cs="Courier New"/>
                <w:sz w:val="18"/>
                <w:szCs w:val="18"/>
                <w:vertAlign w:val="subscript"/>
                <w:lang w:eastAsia="ru-RU"/>
              </w:rPr>
              <w:t>пр</w:t>
            </w:r>
            <w:r w:rsidRPr="00383303">
              <w:rPr>
                <w:rFonts w:ascii="Courier New" w:eastAsia="Times New Roman" w:hAnsi="Courier New" w:cs="Courier New"/>
                <w:sz w:val="18"/>
                <w:szCs w:val="18"/>
                <w:lang w:eastAsia="ru-RU"/>
              </w:rPr>
              <w:t>) характеризует уровень прироста основных фондов или отдельных его групп за определённый период и рассчитывается: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09FE2D47" wp14:editId="771BBDD4">
                  <wp:extent cx="4305300" cy="533400"/>
                  <wp:effectExtent l="0" t="0" r="0" b="0"/>
                  <wp:docPr id="6" name="Рисунок 6" descr="http://www.bestreferat.ru/images/paper/19/20/539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bestreferat.ru/images/paper/19/20/5392019.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05300" cy="533400"/>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(8)</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Методика сравнительного анализа коэффициента прироста аналогична методикам анализа коэффициентов обновления и выбытия основных фондов.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Фондоотдача – важнейший обобщающий показатель эффективности использования основных фондов. Существует взаимосвязь фондоотдачи с производительностью труда и фондовооружённостью:</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7E4E6154" wp14:editId="1FF8C256">
                  <wp:extent cx="2647950" cy="619125"/>
                  <wp:effectExtent l="0" t="0" r="0" b="9525"/>
                  <wp:docPr id="7" name="Рисунок 7" descr="http://www.bestreferat.ru/images/paper/20/20/5392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www.bestreferat.ru/images/paper/20/20/5392020.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47950" cy="619125"/>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(9)</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где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25442999" wp14:editId="42FC8994">
                  <wp:extent cx="276225" cy="180975"/>
                  <wp:effectExtent l="0" t="0" r="9525" b="9525"/>
                  <wp:docPr id="8" name="Рисунок 8" descr="http://www.bestreferat.ru/images/paper/21/20/53920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www.bestreferat.ru/images/paper/21/20/539202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6225" cy="180975"/>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 фондоотдача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6D36D90A" wp14:editId="6C315283">
                  <wp:extent cx="266700" cy="161925"/>
                  <wp:effectExtent l="0" t="0" r="0" b="9525"/>
                  <wp:docPr id="9" name="Рисунок 9" descr="http://www.bestreferat.ru/images/paper/22/20/5392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www.bestreferat.ru/images/paper/22/20/539202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6700" cy="161925"/>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 объём продукции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3B374B6C" wp14:editId="5355545C">
                  <wp:extent cx="190500" cy="190500"/>
                  <wp:effectExtent l="0" t="0" r="0" b="0"/>
                  <wp:docPr id="10" name="Рисунок 10" descr="http://www.bestreferat.ru/images/paper/23/20/53920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www.bestreferat.ru/images/paper/23/20/5392023.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 среднегодовая стоимость промышленно-производственных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0B923D5E" wp14:editId="044900DD">
                  <wp:extent cx="152400" cy="190500"/>
                  <wp:effectExtent l="0" t="0" r="0" b="0"/>
                  <wp:docPr id="11" name="Рисунок 11" descr="http://www.bestreferat.ru/images/paper/24/20/53920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www.bestreferat.ru/images/paper/24/20/5392024.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190500"/>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 среднесписочная численность работающих</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7FB2DD39" wp14:editId="0BDDC3BA">
                  <wp:extent cx="266700" cy="161925"/>
                  <wp:effectExtent l="0" t="0" r="0" b="9525"/>
                  <wp:docPr id="12" name="Рисунок 12" descr="http://www.bestreferat.ru/images/paper/25/20/53920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www.bestreferat.ru/images/paper/25/20/5392025.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6700" cy="161925"/>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 производительность труда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55AA7F53" wp14:editId="08E37B4E">
                  <wp:extent cx="257175" cy="161925"/>
                  <wp:effectExtent l="0" t="0" r="9525" b="9525"/>
                  <wp:docPr id="13" name="Рисунок 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7175" cy="161925"/>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 фондовооружённость</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 Оценка эффективности использования основных средств на ОАО «Гомельдрев» ДОК</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lastRenderedPageBreak/>
              <w:t>2.1 Технико-экономическая характеристика предприятия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Гомельский деревообрабатывающий комбинат (в дальнейшем ДОК) входит в состав ОАО «Гомельдрев», как филиал ОАО в соответствии с Уставом ОАО «Гомельдрев», являясь головным предприятием, без права юридического лица, которому подчиняются филиалы: фанеро-спичечный комбинат, леспромхоз, Злынковская мебельная фабрика.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ДОК осуществляет свою деятельность на принципах хозрасчета, имеет отдельный баланс, может иметь субсчет для зачисления выручки и осуществления расчетов в безналичном порядке, круглую печать, штампы, бланки со своим наименованием и наименованием ОАО «Гомельдрев».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Предметом деятельности ДОКа является производство пиломатериалов, мебельных заготовок, мебели, строительных деталей, багета и изделий из него, фурнитуры мебельной и столярной, металлоизделий, металлоконструкций и другие виды деятельности, предусмотренные Уставом ОАО.</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Основной целью функционирования является деятельность, направленная на получение прибыли, удовлетворение социальных и экономических интересов трудового коллектива.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ДОК от имени Общества заключает договоры и несет отвественность за их выполнение в пределах закрепленного за ним имущества.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ДОК от имени ОАО «Гомельдрев» выступает истцом и ответчиком в судах и арбитражах.</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Акционеры , работающие на ДОКе, имеют права и несут обязанности в соответствии с Уставом Общества и законодательством Республики Беларусь. Порядок разрешения внутрихозяйственных споров определяется Обществом.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Для осуществления своей деятельности ДОК наделяется ОАО «Гомельдрев» имуществом, оборотными средствами и материальными ресурсами. Имущество ДОКа образуется как за счет средств, передаваемых Обществом, так и за счет прибыли от хозяйственной деятельности ДОКа и других источников. Имущество ДОКа является собственностью ОАО «Гомельдрев» и принадлежит ДОКу на праве владения, пользования и распоряжения в пределах, установленных Уставом ОАО «Гомельдрев». Расчеты с бюджетом ДОК производит самостоятельно в соответствии с законодательством Республики Беларусь. Отношение ДОКа с коммерческими и некоммерческими организациями, гражданами строятся на основе договора.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ДОК самостоятельно организует снабжение и сбыт производимой продукции. Источником формирования финансовых ресурсов ДОКа является прибыль, амортизационные отчисления, банковский кредит. Полученная ДОКом прибыль является собственностью ОАО «Гомельдрев» и распределяется по целевому назначению собранием акционеров, а в пределах между собраниями – наблюдательным советом ОАО «Гомельдрев». Конкретное использование чистой прибыли ДОКа определяется в соответствии со сметой, утвержденной генеральным директором ОАО «Гомельдрев».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ДОК несет полную ответственность за соблюдение кредитных договоров и расчетной дисциплины.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ДОК разрабатывает единую для всех структурных подразделений и филиалов политику цен на отпускаемую готовую продукцию.</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ДОК осуществляет оперативный и бухгалтерский учет результатов своей деятельности, ведет статистическую отчетность по своему предприятию.</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Контроль за финансовой и хозяйственной деятельностью ДОКа осуществляет ревизионная комиссия и контрольно-ревизионная группа Общества. По решению наблюдательного совета и дирекции может проводится аудиторская проверка деятельности ДОКа.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Прекращение деятельности филиала может осуществляться путем его реорганизации (слияние, присоединение, разделение, выделение) или ликвидация. ДОК может быть ликвидирован в случаях, предусмотренных законодательством Республики Беларусь. </w:t>
            </w:r>
            <w:r w:rsidRPr="00383303">
              <w:rPr>
                <w:rFonts w:ascii="Courier New" w:eastAsia="Times New Roman" w:hAnsi="Courier New" w:cs="Courier New"/>
                <w:sz w:val="18"/>
                <w:szCs w:val="18"/>
                <w:lang w:eastAsia="ru-RU"/>
              </w:rPr>
              <w:lastRenderedPageBreak/>
              <w:t>Решение о реорганизации принимается собранием акционеров.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ДОК за 2009 год выпустил продукции в действующих ценах на сумму 27415 млн.руб., темпы роста составили 126б,07%, выручка от реализации продукции составила 5996 млн.руб., темпы роста 115,4 % ( см. таблицу 1 ).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1. - Основные технико-экономические показатели ДОКа за 2008-2009гг</w:t>
            </w:r>
          </w:p>
          <w:tbl>
            <w:tblPr>
              <w:tblW w:w="9180"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990"/>
              <w:gridCol w:w="990"/>
              <w:gridCol w:w="1425"/>
              <w:gridCol w:w="1275"/>
            </w:tblGrid>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Показатели</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2008г.</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2009г.</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Отклонения (+,-)</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Темп роста, %</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jc w:val="center"/>
                    <w:outlineLvl w:val="1"/>
                    <w:rPr>
                      <w:rFonts w:ascii="Arial" w:eastAsia="Times New Roman" w:hAnsi="Arial" w:cs="Arial"/>
                      <w:b/>
                      <w:bCs/>
                      <w:sz w:val="27"/>
                      <w:szCs w:val="27"/>
                      <w:lang w:eastAsia="ru-RU"/>
                    </w:rPr>
                  </w:pPr>
                  <w:r w:rsidRPr="00383303">
                    <w:rPr>
                      <w:rFonts w:ascii="Arial" w:eastAsia="Times New Roman" w:hAnsi="Arial" w:cs="Arial"/>
                      <w:b/>
                      <w:bCs/>
                      <w:sz w:val="27"/>
                      <w:szCs w:val="27"/>
                      <w:lang w:eastAsia="ru-RU"/>
                    </w:rPr>
                    <w:t>А</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1.Обьем продукции в действующих ценах, млн.р</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21746</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27415</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+5669</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126,07</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2.Объем продукции в сопоставимых ценах, млн.р</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26618</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27754</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+1135</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104,26</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3.Выручка от реализации продукции(нетто),млн.р.</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38846</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44842</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+5996</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115,4</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4.Затраты на производство и реализацию продукции, млн.р.</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38687</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45675</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+6988</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118,1</w:t>
                  </w:r>
                </w:p>
              </w:tc>
            </w:tr>
            <w:tr w:rsidR="00383303" w:rsidRPr="00383303" w:rsidTr="00383303">
              <w:trPr>
                <w:trHeight w:val="590"/>
              </w:trPr>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5.Прибыль(убыток) от реализации продукции, млн.р.</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2704</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2399</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-305</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88,7</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 Балансовая прибыль(убыток), млн. руб.</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1164</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544</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-620</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46,7</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7.Среднегодовая стоимость ППОФ, млн.р.</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50350</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65053</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+14703</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129,2</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8.Материальные затраты, млн. р.</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24171</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25928</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+1757</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107,3</w:t>
                  </w:r>
                </w:p>
              </w:tc>
            </w:tr>
            <w:tr w:rsidR="00383303" w:rsidRPr="00383303" w:rsidTr="00383303">
              <w:trPr>
                <w:cantSplit/>
              </w:trPr>
              <w:tc>
                <w:tcPr>
                  <w:tcW w:w="9180" w:type="dxa"/>
                  <w:gridSpan w:val="5"/>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Окончание таблицы 1</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9.Среднесписочная численность работников ППП, чел.</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3672</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3335</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-337</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90,8</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 Фондоотдача ОПФ, руб. (стр.1/стр.7)</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0,432</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0,421</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-0,011</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97,5</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11.Материалоотдача, руб. (стр.1/стр.8)</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0,899</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1,057</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+0,3158</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117,6</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12.Среднегодовая производительность одного работника, млн. р. (стр.2/стр.9)</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7,25</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8,32</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+1,07</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114,7</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13.Рентабельность реализованной продукции, % (стр.5/стр.4)*100</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6,9</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5,2</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-1,7</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75,4</w:t>
                  </w:r>
                </w:p>
              </w:tc>
            </w:tr>
            <w:tr w:rsidR="00383303" w:rsidRPr="00383303" w:rsidTr="00383303">
              <w:tc>
                <w:tcPr>
                  <w:tcW w:w="4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14.Рентабельность продаж, % (стр.5/стр.3)*100</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6,9</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5,3</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-1,6</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76,8</w:t>
                  </w:r>
                </w:p>
              </w:tc>
            </w:tr>
          </w:tbl>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Оценивая технико-экономические показатели ДОКа за 2008-2009г. можно отметить следующие моменты: объем продукции в действующих ценах в отчетном году, по сравнению с предыдущим, вырос в 1,26 раза; затраты на производство и реализацию продукции – в 1,18 раза. В отчетном году прибыль от реализации продукции уменьшилась на 305 млн. руб. и составила 2399 млн. руб.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Численность ППП снизилась по сравнению с предыдущим годом на 337 человек.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В отчетном году по сравнению с базисным увеличилась материалоотдача, а фондоотдача и показатели рентабельности снизилсь. Среднегодовая производительность одного работника в отчетном году увеличилась на 1,07 млн. руб. и составила 8,32 млн. руб...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Проведем анализ платежеспособности предприятия на основе показателей ликвидности баланса (см. таблицу 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Расчет показателей платежеспособности предприятия (2009 г.)</w:t>
            </w:r>
          </w:p>
          <w:tbl>
            <w:tblPr>
              <w:tblW w:w="0" w:type="auto"/>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835"/>
              <w:gridCol w:w="1275"/>
              <w:gridCol w:w="1245"/>
              <w:gridCol w:w="1305"/>
              <w:gridCol w:w="1275"/>
              <w:gridCol w:w="1275"/>
            </w:tblGrid>
            <w:tr w:rsidR="00383303" w:rsidRPr="00383303" w:rsidTr="00383303">
              <w:trPr>
                <w:cantSplit/>
              </w:trPr>
              <w:tc>
                <w:tcPr>
                  <w:tcW w:w="2835"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Показатели</w:t>
                  </w:r>
                </w:p>
              </w:tc>
              <w:tc>
                <w:tcPr>
                  <w:tcW w:w="252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2008г.</w:t>
                  </w:r>
                </w:p>
              </w:tc>
              <w:tc>
                <w:tcPr>
                  <w:tcW w:w="258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2009г.</w:t>
                  </w:r>
                </w:p>
              </w:tc>
              <w:tc>
                <w:tcPr>
                  <w:tcW w:w="1275"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Изменения (+,-)</w:t>
                  </w:r>
                </w:p>
              </w:tc>
            </w:tr>
            <w:tr w:rsidR="00383303" w:rsidRPr="00383303" w:rsidTr="00383303">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Расчет показателя</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Уровень показателя</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Расчет показателя</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Уровень показателя</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1.Текущие активы</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11806</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18490</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+6684</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 Запасы</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9975</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14490</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+4515</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 Налоги по приобретенным ценностям</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339</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461</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+122</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 Дебиторская задолженность</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1352</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3241</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+1889</w:t>
                  </w:r>
                </w:p>
              </w:tc>
            </w:tr>
            <w:tr w:rsidR="00383303" w:rsidRPr="00383303" w:rsidTr="00383303">
              <w:trPr>
                <w:cantSplit/>
              </w:trPr>
              <w:tc>
                <w:tcPr>
                  <w:tcW w:w="9210" w:type="dxa"/>
                  <w:gridSpan w:val="6"/>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Окончание таблицы 2</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lastRenderedPageBreak/>
                    <w:t>1.4 Краткосрочные капитальные вложения</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1.5 Денежные средства</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83</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133</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+50</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1.6 Прочие оборотные активы</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57</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165</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+108</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 Текущие пассивы</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6567</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9600</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+3033</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2.1 Заемные средства</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848</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2155</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+1307</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2.2 Кредиторская задолженность</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6095</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8795</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+2700</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2.3 Инновационный фонд</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2.4 Доходы будущих периодов</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2.5 Фонды потребления</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-410</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-1350</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-940</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2.6 Резервы предстоящих расходов и платежей</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34</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 Прочие краткосрочные обязательства</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 Показатели платежеспособности</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3.1 Коэффициент текущей ликвидности</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11806/6567</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1,80</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18490/ 9600</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1,92</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+0,12</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3.2 Коэффициент критической ликвидности</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83+1352/ 6567</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0,22</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133+3241/ 9600</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0,35</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+0,13</w:t>
                  </w:r>
                </w:p>
              </w:tc>
            </w:tr>
            <w:tr w:rsidR="00383303" w:rsidRPr="00383303" w:rsidTr="00383303">
              <w:tc>
                <w:tcPr>
                  <w:tcW w:w="28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3.3 Коэффициент абсолютной ликвидности</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83/6567</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0,012</w:t>
                  </w:r>
                </w:p>
              </w:tc>
              <w:tc>
                <w:tcPr>
                  <w:tcW w:w="13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133/9600</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0,013</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+0,001</w:t>
                  </w:r>
                </w:p>
              </w:tc>
            </w:tr>
          </w:tbl>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Проанализировав данные таблицы 2 можно увидеть незначительный рост всех показателей платежеспособности, что является положительным моментом на предприятии.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Исследуем состав, структуру и динамику общего капитала ДОКа за 2008 – 2009гг. (см. таблицу 3).</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3 - Исходные данные для оценки состава, структуры и динамики общего капитала предприятия за 2008-2009гг</w:t>
            </w:r>
          </w:p>
          <w:tbl>
            <w:tblPr>
              <w:tblW w:w="8925"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93"/>
              <w:gridCol w:w="1136"/>
              <w:gridCol w:w="733"/>
              <w:gridCol w:w="853"/>
              <w:gridCol w:w="1135"/>
              <w:gridCol w:w="1136"/>
              <w:gridCol w:w="986"/>
              <w:gridCol w:w="853"/>
            </w:tblGrid>
            <w:tr w:rsidR="00383303" w:rsidRPr="00383303" w:rsidTr="00383303">
              <w:trPr>
                <w:cantSplit/>
              </w:trPr>
              <w:tc>
                <w:tcPr>
                  <w:tcW w:w="2100"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Состав капитала</w:t>
                  </w:r>
                </w:p>
              </w:tc>
              <w:tc>
                <w:tcPr>
                  <w:tcW w:w="187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2008г.</w:t>
                  </w:r>
                </w:p>
              </w:tc>
              <w:tc>
                <w:tcPr>
                  <w:tcW w:w="198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2009г.</w:t>
                  </w:r>
                </w:p>
              </w:tc>
              <w:tc>
                <w:tcPr>
                  <w:tcW w:w="213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Изменения за год</w:t>
                  </w:r>
                </w:p>
              </w:tc>
              <w:tc>
                <w:tcPr>
                  <w:tcW w:w="855"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Темп роста, %</w:t>
                  </w:r>
                </w:p>
              </w:tc>
            </w:tr>
            <w:tr w:rsidR="00383303" w:rsidRPr="00383303" w:rsidTr="00383303">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Сумма, млн. руб.</w:t>
                  </w:r>
                </w:p>
              </w:tc>
              <w:tc>
                <w:tcPr>
                  <w:tcW w:w="7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Уд. вес, %</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Сумма, млн.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Уд. вес, %</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Сумма, млн. руб.</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Уд. вес,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r>
            <w:tr w:rsidR="00383303" w:rsidRPr="00383303" w:rsidTr="00383303">
              <w:tc>
                <w:tcPr>
                  <w:tcW w:w="21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7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w:t>
                  </w:r>
                </w:p>
              </w:tc>
            </w:tr>
            <w:tr w:rsidR="00383303" w:rsidRPr="00383303" w:rsidTr="00383303">
              <w:tc>
                <w:tcPr>
                  <w:tcW w:w="21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 Общий капитал</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50542</w:t>
                  </w:r>
                </w:p>
              </w:tc>
              <w:tc>
                <w:tcPr>
                  <w:tcW w:w="7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100</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65114</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100</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+14572</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128,83</w:t>
                  </w:r>
                </w:p>
              </w:tc>
            </w:tr>
            <w:tr w:rsidR="00383303" w:rsidRPr="00383303" w:rsidTr="00383303">
              <w:tc>
                <w:tcPr>
                  <w:tcW w:w="21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 Основной капитал (внеоборотные активы)</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28621</w:t>
                  </w:r>
                </w:p>
              </w:tc>
              <w:tc>
                <w:tcPr>
                  <w:tcW w:w="7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56,63</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31836</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48,89</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+3215</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-7,74</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111,23</w:t>
                  </w:r>
                </w:p>
              </w:tc>
            </w:tr>
            <w:tr w:rsidR="00383303" w:rsidRPr="00383303" w:rsidTr="00383303">
              <w:tc>
                <w:tcPr>
                  <w:tcW w:w="21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 Оборотный капитал (оборотные активы)</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11806</w:t>
                  </w:r>
                </w:p>
              </w:tc>
              <w:tc>
                <w:tcPr>
                  <w:tcW w:w="7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23,36</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18490</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28,40</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+6684</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+5,04</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156,62</w:t>
                  </w:r>
                </w:p>
              </w:tc>
            </w:tr>
            <w:tr w:rsidR="00383303" w:rsidRPr="00383303" w:rsidTr="00383303">
              <w:tc>
                <w:tcPr>
                  <w:tcW w:w="21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1.2.1. Материальные оборотные средства</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9975</w:t>
                  </w:r>
                </w:p>
              </w:tc>
              <w:tc>
                <w:tcPr>
                  <w:tcW w:w="7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19,74</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14490</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22,25</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+4515</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+2,51</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145,26</w:t>
                  </w:r>
                </w:p>
              </w:tc>
            </w:tr>
            <w:tr w:rsidR="00383303" w:rsidRPr="00383303" w:rsidTr="00383303">
              <w:tc>
                <w:tcPr>
                  <w:tcW w:w="21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1.2.2. Денежные средства и краткосрочные финансовые вложения</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83</w:t>
                  </w:r>
                </w:p>
              </w:tc>
              <w:tc>
                <w:tcPr>
                  <w:tcW w:w="7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0,16</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133</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0,21</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+50</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+0,05</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160,24</w:t>
                  </w:r>
                </w:p>
              </w:tc>
            </w:tr>
            <w:tr w:rsidR="00383303" w:rsidRPr="00383303" w:rsidTr="00383303">
              <w:tc>
                <w:tcPr>
                  <w:tcW w:w="21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1.2.3. Прочие оборотные активы</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57</w:t>
                  </w:r>
                </w:p>
              </w:tc>
              <w:tc>
                <w:tcPr>
                  <w:tcW w:w="7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0,11</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165</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0,25</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+108</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+0,14</w:t>
                  </w:r>
                </w:p>
              </w:tc>
              <w:tc>
                <w:tcPr>
                  <w:tcW w:w="85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289,47</w:t>
                  </w:r>
                </w:p>
              </w:tc>
            </w:tr>
          </w:tbl>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Из таблицы 3 видно, что общая сумма средств предприятия в 2009г. по сравнению с 2008г. увеличилась на 14572 млн. . руб. или 1,28 раза. . В общей структуре капитала предприятия произошли незначительные изменения, так удельный вес основного капитала в 2009г. по сравнению с 2008г. снизился на 7,74 п.п. Но тем не менее сумма основного капитала по-прежнему превышает сумму оборотного капитала (в 2009г. – на 13346 млн.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Проводя анализ основных технико-экономических показателей предприятия, проведем также анализ финансовой устойчивости предприятия (см. таблицу 4).</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4 - Динамика абсолютных показателей финансовой устойчивости предприятия</w:t>
            </w:r>
          </w:p>
          <w:tbl>
            <w:tblPr>
              <w:tblW w:w="0" w:type="auto"/>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650"/>
              <w:gridCol w:w="1140"/>
              <w:gridCol w:w="1275"/>
              <w:gridCol w:w="1695"/>
            </w:tblGrid>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Показатели</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2008г.</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2009г.</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Отклонения</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lastRenderedPageBreak/>
                    <w:t>1. Собственный капитал</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29114</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33827</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+4713</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 Долгосрочный заемный капитал</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848</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2155</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+1307</w:t>
                  </w:r>
                </w:p>
              </w:tc>
            </w:tr>
            <w:tr w:rsidR="00383303" w:rsidRPr="00383303" w:rsidTr="00383303">
              <w:trPr>
                <w:cantSplit/>
              </w:trPr>
              <w:tc>
                <w:tcPr>
                  <w:tcW w:w="8760" w:type="dxa"/>
                  <w:gridSpan w:val="4"/>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Продолжение таблицы 4</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 Краткосрочный заемный капитал</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3671</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5928</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+2257</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 Основной капитал</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28621</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31836</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+3215</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 Наличие собственных средств для формирования запасов (стр1-стр4)</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+493</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+1991</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+1498</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 Наличие собственных и долгосрочных заемных средств для формирования запасов</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-355</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+4146</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+4501</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 Наличие собственных долгосрочных и краткосрочных заемных средств для формирования запасов (стр1+стр2+стр3-стр4)</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3316</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10074</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+6758</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 Запасы</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9975</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14490</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+4515</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 Обеспеченность запасов собственными средствами (стр5-стр8)</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-9482</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-12499</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-21981</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 Обеспеченность запасов собственными и долгосрочными заемными средствами (стр6-стр8)</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-10330</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-10344</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-20674</w:t>
                  </w:r>
                </w:p>
              </w:tc>
            </w:tr>
            <w:tr w:rsidR="00383303" w:rsidRPr="00383303" w:rsidTr="00383303">
              <w:tc>
                <w:tcPr>
                  <w:tcW w:w="46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 Обеспеченность запасов общей суммой средств</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-6659</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-4416</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-11075</w:t>
                  </w:r>
                </w:p>
              </w:tc>
            </w:tr>
          </w:tbl>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позволяет оценить финансовое состояние ДОКа как неустойчивое, т.е возможны сбои в финансовой системе предприятия, нарушение платежеспособности... На предприятии наблюдается катастрофическая нехватка средств для формирования запасов, несмотря на то, что в 2009 году по сравнению с 2008 годом сумма краткосрочного заемного капитала увеличилась на 2257 тыс.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Также для оценки финансовой устойчивости предприятия рассчитаем следующие коэффициенты: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коэффициент независимости (автономии) = Собственный капитал / Общий капитал</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w:t>
            </w:r>
            <w:r w:rsidRPr="00383303">
              <w:rPr>
                <w:rFonts w:ascii="Courier New" w:eastAsia="Times New Roman" w:hAnsi="Courier New" w:cs="Courier New"/>
                <w:sz w:val="18"/>
                <w:szCs w:val="18"/>
                <w:vertAlign w:val="subscript"/>
                <w:lang w:eastAsia="ru-RU"/>
              </w:rPr>
              <w:t>2001</w:t>
            </w:r>
            <w:r w:rsidRPr="00383303">
              <w:rPr>
                <w:rFonts w:ascii="Courier New" w:eastAsia="Times New Roman" w:hAnsi="Courier New" w:cs="Courier New"/>
                <w:sz w:val="18"/>
                <w:szCs w:val="18"/>
                <w:lang w:eastAsia="ru-RU"/>
              </w:rPr>
              <w:t>= 29114/50542=0,6; К</w:t>
            </w:r>
            <w:r w:rsidRPr="00383303">
              <w:rPr>
                <w:rFonts w:ascii="Courier New" w:eastAsia="Times New Roman" w:hAnsi="Courier New" w:cs="Courier New"/>
                <w:sz w:val="18"/>
                <w:szCs w:val="18"/>
                <w:vertAlign w:val="subscript"/>
                <w:lang w:eastAsia="ru-RU"/>
              </w:rPr>
              <w:t xml:space="preserve">2002 </w:t>
            </w:r>
            <w:r w:rsidRPr="00383303">
              <w:rPr>
                <w:rFonts w:ascii="Courier New" w:eastAsia="Times New Roman" w:hAnsi="Courier New" w:cs="Courier New"/>
                <w:sz w:val="18"/>
                <w:szCs w:val="18"/>
                <w:lang w:eastAsia="ru-RU"/>
              </w:rPr>
              <w:t>= 33827/65114=0,52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коэффициент соотношения заемных и собственных средств = Заемный капитал / Собственный капитал</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w:t>
            </w:r>
            <w:r w:rsidRPr="00383303">
              <w:rPr>
                <w:rFonts w:ascii="Courier New" w:eastAsia="Times New Roman" w:hAnsi="Courier New" w:cs="Courier New"/>
                <w:sz w:val="18"/>
                <w:szCs w:val="18"/>
                <w:vertAlign w:val="subscript"/>
                <w:lang w:eastAsia="ru-RU"/>
              </w:rPr>
              <w:t xml:space="preserve">2001 </w:t>
            </w:r>
            <w:r w:rsidRPr="00383303">
              <w:rPr>
                <w:rFonts w:ascii="Courier New" w:eastAsia="Times New Roman" w:hAnsi="Courier New" w:cs="Courier New"/>
                <w:sz w:val="18"/>
                <w:szCs w:val="18"/>
                <w:lang w:eastAsia="ru-RU"/>
              </w:rPr>
              <w:t>= 848/29114=0,29;</w:t>
            </w:r>
            <w:r w:rsidRPr="00383303">
              <w:rPr>
                <w:rFonts w:ascii="Courier New" w:eastAsia="Times New Roman" w:hAnsi="Courier New" w:cs="Courier New"/>
                <w:sz w:val="18"/>
                <w:szCs w:val="18"/>
                <w:vertAlign w:val="subscript"/>
                <w:lang w:eastAsia="ru-RU"/>
              </w:rPr>
              <w:t xml:space="preserve"> </w:t>
            </w:r>
            <w:r w:rsidRPr="00383303">
              <w:rPr>
                <w:rFonts w:ascii="Courier New" w:eastAsia="Times New Roman" w:hAnsi="Courier New" w:cs="Courier New"/>
                <w:sz w:val="18"/>
                <w:szCs w:val="18"/>
                <w:lang w:eastAsia="ru-RU"/>
              </w:rPr>
              <w:t>К</w:t>
            </w:r>
            <w:r w:rsidRPr="00383303">
              <w:rPr>
                <w:rFonts w:ascii="Courier New" w:eastAsia="Times New Roman" w:hAnsi="Courier New" w:cs="Courier New"/>
                <w:sz w:val="18"/>
                <w:szCs w:val="18"/>
                <w:vertAlign w:val="subscript"/>
                <w:lang w:eastAsia="ru-RU"/>
              </w:rPr>
              <w:t>2002</w:t>
            </w:r>
            <w:r w:rsidRPr="00383303">
              <w:rPr>
                <w:rFonts w:ascii="Courier New" w:eastAsia="Times New Roman" w:hAnsi="Courier New" w:cs="Courier New"/>
                <w:sz w:val="18"/>
                <w:szCs w:val="18"/>
                <w:lang w:eastAsia="ru-RU"/>
              </w:rPr>
              <w:t xml:space="preserve"> = 2155/33827=0,06</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коэффициент соотношения мобильных и иммобилизованных средств = Оборотный капитал / Основной капитал</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w:t>
            </w:r>
            <w:r w:rsidRPr="00383303">
              <w:rPr>
                <w:rFonts w:ascii="Courier New" w:eastAsia="Times New Roman" w:hAnsi="Courier New" w:cs="Courier New"/>
                <w:sz w:val="18"/>
                <w:szCs w:val="18"/>
                <w:vertAlign w:val="subscript"/>
                <w:lang w:eastAsia="ru-RU"/>
              </w:rPr>
              <w:t>2001</w:t>
            </w:r>
            <w:r w:rsidRPr="00383303">
              <w:rPr>
                <w:rFonts w:ascii="Courier New" w:eastAsia="Times New Roman" w:hAnsi="Courier New" w:cs="Courier New"/>
                <w:sz w:val="18"/>
                <w:szCs w:val="18"/>
                <w:lang w:eastAsia="ru-RU"/>
              </w:rPr>
              <w:t xml:space="preserve"> = 11806/28621=0,41; К</w:t>
            </w:r>
            <w:r w:rsidRPr="00383303">
              <w:rPr>
                <w:rFonts w:ascii="Courier New" w:eastAsia="Times New Roman" w:hAnsi="Courier New" w:cs="Courier New"/>
                <w:sz w:val="18"/>
                <w:szCs w:val="18"/>
                <w:vertAlign w:val="subscript"/>
                <w:lang w:eastAsia="ru-RU"/>
              </w:rPr>
              <w:t>2002</w:t>
            </w:r>
            <w:r w:rsidRPr="00383303">
              <w:rPr>
                <w:rFonts w:ascii="Courier New" w:eastAsia="Times New Roman" w:hAnsi="Courier New" w:cs="Courier New"/>
                <w:sz w:val="18"/>
                <w:szCs w:val="18"/>
                <w:lang w:eastAsia="ru-RU"/>
              </w:rPr>
              <w:t xml:space="preserve"> = 18490/31836=0,58</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коэффициент маневренности = Собственный оборотный капитал / Собственный капитал + Долгосрочный заемный капитал</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w:t>
            </w:r>
            <w:r w:rsidRPr="00383303">
              <w:rPr>
                <w:rFonts w:ascii="Courier New" w:eastAsia="Times New Roman" w:hAnsi="Courier New" w:cs="Courier New"/>
                <w:sz w:val="18"/>
                <w:szCs w:val="18"/>
                <w:vertAlign w:val="subscript"/>
                <w:lang w:eastAsia="ru-RU"/>
              </w:rPr>
              <w:t>2001</w:t>
            </w:r>
            <w:r w:rsidRPr="00383303">
              <w:rPr>
                <w:rFonts w:ascii="Courier New" w:eastAsia="Times New Roman" w:hAnsi="Courier New" w:cs="Courier New"/>
                <w:sz w:val="18"/>
                <w:szCs w:val="18"/>
                <w:lang w:eastAsia="ru-RU"/>
              </w:rPr>
              <w:t xml:space="preserve"> = -355/28266= -0,012; К</w:t>
            </w:r>
            <w:r w:rsidRPr="00383303">
              <w:rPr>
                <w:rFonts w:ascii="Courier New" w:eastAsia="Times New Roman" w:hAnsi="Courier New" w:cs="Courier New"/>
                <w:sz w:val="18"/>
                <w:szCs w:val="18"/>
                <w:vertAlign w:val="subscript"/>
                <w:lang w:eastAsia="ru-RU"/>
              </w:rPr>
              <w:t>2002</w:t>
            </w:r>
            <w:r w:rsidRPr="00383303">
              <w:rPr>
                <w:rFonts w:ascii="Courier New" w:eastAsia="Times New Roman" w:hAnsi="Courier New" w:cs="Courier New"/>
                <w:sz w:val="18"/>
                <w:szCs w:val="18"/>
                <w:lang w:eastAsia="ru-RU"/>
              </w:rPr>
              <w:t xml:space="preserve"> = 4146/35982= 0,115</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коэффициент мобильности всех средств предприятия = Оборотный капитал / Общий капитал</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w:t>
            </w:r>
            <w:r w:rsidRPr="00383303">
              <w:rPr>
                <w:rFonts w:ascii="Courier New" w:eastAsia="Times New Roman" w:hAnsi="Courier New" w:cs="Courier New"/>
                <w:sz w:val="18"/>
                <w:szCs w:val="18"/>
                <w:vertAlign w:val="subscript"/>
                <w:lang w:eastAsia="ru-RU"/>
              </w:rPr>
              <w:t>2001</w:t>
            </w:r>
            <w:r w:rsidRPr="00383303">
              <w:rPr>
                <w:rFonts w:ascii="Courier New" w:eastAsia="Times New Roman" w:hAnsi="Courier New" w:cs="Courier New"/>
                <w:sz w:val="18"/>
                <w:szCs w:val="18"/>
                <w:lang w:eastAsia="ru-RU"/>
              </w:rPr>
              <w:t xml:space="preserve"> = 11806/50542=0,23 К</w:t>
            </w:r>
            <w:r w:rsidRPr="00383303">
              <w:rPr>
                <w:rFonts w:ascii="Courier New" w:eastAsia="Times New Roman" w:hAnsi="Courier New" w:cs="Courier New"/>
                <w:sz w:val="18"/>
                <w:szCs w:val="18"/>
                <w:vertAlign w:val="subscript"/>
                <w:lang w:eastAsia="ru-RU"/>
              </w:rPr>
              <w:t>2002</w:t>
            </w:r>
            <w:r w:rsidRPr="00383303">
              <w:rPr>
                <w:rFonts w:ascii="Courier New" w:eastAsia="Times New Roman" w:hAnsi="Courier New" w:cs="Courier New"/>
                <w:sz w:val="18"/>
                <w:szCs w:val="18"/>
                <w:lang w:eastAsia="ru-RU"/>
              </w:rPr>
              <w:t xml:space="preserve"> = 18490/65114=0,28</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коэффициент мобильности оборотных средств = Денежные средства + Краткосрочные финансовые вложения / Оборотный капитал</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w:t>
            </w:r>
            <w:r w:rsidRPr="00383303">
              <w:rPr>
                <w:rFonts w:ascii="Courier New" w:eastAsia="Times New Roman" w:hAnsi="Courier New" w:cs="Courier New"/>
                <w:sz w:val="18"/>
                <w:szCs w:val="18"/>
                <w:vertAlign w:val="subscript"/>
                <w:lang w:eastAsia="ru-RU"/>
              </w:rPr>
              <w:t>2001</w:t>
            </w:r>
            <w:r w:rsidRPr="00383303">
              <w:rPr>
                <w:rFonts w:ascii="Courier New" w:eastAsia="Times New Roman" w:hAnsi="Courier New" w:cs="Courier New"/>
                <w:sz w:val="18"/>
                <w:szCs w:val="18"/>
                <w:lang w:eastAsia="ru-RU"/>
              </w:rPr>
              <w:t xml:space="preserve"> = 83/11806=0,007; К</w:t>
            </w:r>
            <w:r w:rsidRPr="00383303">
              <w:rPr>
                <w:rFonts w:ascii="Courier New" w:eastAsia="Times New Roman" w:hAnsi="Courier New" w:cs="Courier New"/>
                <w:sz w:val="18"/>
                <w:szCs w:val="18"/>
                <w:vertAlign w:val="subscript"/>
                <w:lang w:eastAsia="ru-RU"/>
              </w:rPr>
              <w:t>2002</w:t>
            </w:r>
            <w:r w:rsidRPr="00383303">
              <w:rPr>
                <w:rFonts w:ascii="Courier New" w:eastAsia="Times New Roman" w:hAnsi="Courier New" w:cs="Courier New"/>
                <w:sz w:val="18"/>
                <w:szCs w:val="18"/>
                <w:lang w:eastAsia="ru-RU"/>
              </w:rPr>
              <w:t xml:space="preserve"> = 133/18490=0,007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коэффициент обеспеченности запасов собственными источниками их формирования = Собственный оборотный капитал + Долгосрочный заемный капитал – Основной капитал / Запасы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w:t>
            </w:r>
            <w:r w:rsidRPr="00383303">
              <w:rPr>
                <w:rFonts w:ascii="Courier New" w:eastAsia="Times New Roman" w:hAnsi="Courier New" w:cs="Courier New"/>
                <w:sz w:val="18"/>
                <w:szCs w:val="18"/>
                <w:vertAlign w:val="subscript"/>
                <w:lang w:eastAsia="ru-RU"/>
              </w:rPr>
              <w:t>2001</w:t>
            </w:r>
            <w:r w:rsidRPr="00383303">
              <w:rPr>
                <w:rFonts w:ascii="Courier New" w:eastAsia="Times New Roman" w:hAnsi="Courier New" w:cs="Courier New"/>
                <w:sz w:val="18"/>
                <w:szCs w:val="18"/>
                <w:lang w:eastAsia="ru-RU"/>
              </w:rPr>
              <w:t xml:space="preserve"> = 493-28621/9975= -2,79;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lastRenderedPageBreak/>
              <w:t>К</w:t>
            </w:r>
            <w:r w:rsidRPr="00383303">
              <w:rPr>
                <w:rFonts w:ascii="Courier New" w:eastAsia="Times New Roman" w:hAnsi="Courier New" w:cs="Courier New"/>
                <w:sz w:val="18"/>
                <w:szCs w:val="18"/>
                <w:vertAlign w:val="subscript"/>
                <w:lang w:eastAsia="ru-RU"/>
              </w:rPr>
              <w:t>2002</w:t>
            </w:r>
            <w:r w:rsidRPr="00383303">
              <w:rPr>
                <w:rFonts w:ascii="Courier New" w:eastAsia="Times New Roman" w:hAnsi="Courier New" w:cs="Courier New"/>
                <w:sz w:val="18"/>
                <w:szCs w:val="18"/>
                <w:lang w:eastAsia="ru-RU"/>
              </w:rPr>
              <w:t xml:space="preserve"> = -1991-31836/14490= -2,06</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коэффициент имущества производственного назначения = Основные средства + Незавершенные капитальные вложения + Долгосрочные финансовые вложения + Запасы / Общий капитал</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w:t>
            </w:r>
            <w:r w:rsidRPr="00383303">
              <w:rPr>
                <w:rFonts w:ascii="Courier New" w:eastAsia="Times New Roman" w:hAnsi="Courier New" w:cs="Courier New"/>
                <w:sz w:val="18"/>
                <w:szCs w:val="18"/>
                <w:vertAlign w:val="subscript"/>
                <w:lang w:eastAsia="ru-RU"/>
              </w:rPr>
              <w:t>2001</w:t>
            </w:r>
            <w:r w:rsidRPr="00383303">
              <w:rPr>
                <w:rFonts w:ascii="Courier New" w:eastAsia="Times New Roman" w:hAnsi="Courier New" w:cs="Courier New"/>
                <w:sz w:val="18"/>
                <w:szCs w:val="18"/>
                <w:lang w:eastAsia="ru-RU"/>
              </w:rPr>
              <w:t xml:space="preserve"> = 75301+1488+14+9975/50542=1,72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w:t>
            </w:r>
            <w:r w:rsidRPr="00383303">
              <w:rPr>
                <w:rFonts w:ascii="Courier New" w:eastAsia="Times New Roman" w:hAnsi="Courier New" w:cs="Courier New"/>
                <w:sz w:val="18"/>
                <w:szCs w:val="18"/>
                <w:vertAlign w:val="subscript"/>
                <w:lang w:eastAsia="ru-RU"/>
              </w:rPr>
              <w:t>2002</w:t>
            </w:r>
            <w:r w:rsidRPr="00383303">
              <w:rPr>
                <w:rFonts w:ascii="Courier New" w:eastAsia="Times New Roman" w:hAnsi="Courier New" w:cs="Courier New"/>
                <w:sz w:val="18"/>
                <w:szCs w:val="18"/>
                <w:lang w:eastAsia="ru-RU"/>
              </w:rPr>
              <w:t xml:space="preserve"> = 86925+869+20+14490/65114=1,75</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Оценивая полученные результаты можно сказать, что финансовое состояние предприятия крайне тяжелое. Значения большинства рассчитанных коэффициентов уже перешагнули свою критическую отметку и продолжают снижаться. Можно сделать вывод, что на предприятии складывается кризисная ситуация. Значение коэффициента обеспеченности собственными оборотными средствами в 2001г. и 2002г. вообще имеет отрицательное значение! Это говорит об отсутствии на предприятии собственных средств для формирования текущих активов, а учитывая рост в 2001г. суммы текущих активов в 1,6 раза (см. таблицу 2) можно сказать, что перед предприятием постоянно стоит проблема поиска средств на финансирование оборотного капитала.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2.2 Анализ состава, структуры и технического состояния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Состав, структуру и динамику основных средств на ДОКе представим в виде следующих таблиц 5,6: (данные взяты из форм 11-ОС)</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5 - Данные для анализа состава, структуры и динамики основных фондов на ДОКе ( 2009г.)</w:t>
            </w:r>
          </w:p>
          <w:tbl>
            <w:tblPr>
              <w:tblW w:w="9240" w:type="dxa"/>
              <w:jc w:val="center"/>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6"/>
              <w:gridCol w:w="2788"/>
              <w:gridCol w:w="60"/>
              <w:gridCol w:w="1013"/>
              <w:gridCol w:w="30"/>
              <w:gridCol w:w="672"/>
              <w:gridCol w:w="1234"/>
              <w:gridCol w:w="779"/>
              <w:gridCol w:w="1118"/>
              <w:gridCol w:w="30"/>
              <w:gridCol w:w="641"/>
              <w:gridCol w:w="21"/>
              <w:gridCol w:w="788"/>
            </w:tblGrid>
            <w:tr w:rsidR="00383303" w:rsidRPr="00383303" w:rsidTr="00383303">
              <w:trPr>
                <w:cantSplit/>
                <w:jc w:val="center"/>
              </w:trPr>
              <w:tc>
                <w:tcPr>
                  <w:tcW w:w="2910" w:type="dxa"/>
                  <w:gridSpan w:val="2"/>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Показатели</w:t>
                  </w:r>
                </w:p>
              </w:tc>
              <w:tc>
                <w:tcPr>
                  <w:tcW w:w="1800" w:type="dxa"/>
                  <w:gridSpan w:val="4"/>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На начало года</w:t>
                  </w:r>
                </w:p>
              </w:tc>
              <w:tc>
                <w:tcPr>
                  <w:tcW w:w="208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На конец года</w:t>
                  </w:r>
                </w:p>
              </w:tc>
              <w:tc>
                <w:tcPr>
                  <w:tcW w:w="1620" w:type="dxa"/>
                  <w:gridSpan w:val="3"/>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Изменение за год</w:t>
                  </w:r>
                </w:p>
              </w:tc>
              <w:tc>
                <w:tcPr>
                  <w:tcW w:w="82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Темп роста,</w:t>
                  </w:r>
                </w:p>
              </w:tc>
            </w:tr>
            <w:tr w:rsidR="00383303" w:rsidRPr="00383303" w:rsidTr="00383303">
              <w:trPr>
                <w:cantSplit/>
                <w:jc w:val="center"/>
              </w:trPr>
              <w:tc>
                <w:tcPr>
                  <w:tcW w:w="0" w:type="auto"/>
                  <w:gridSpan w:val="2"/>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c>
                <w:tcPr>
                  <w:tcW w:w="108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Тыс. руб.</w:t>
                  </w:r>
                </w:p>
              </w:tc>
              <w:tc>
                <w:tcPr>
                  <w:tcW w:w="72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уд. вес, %</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Тыс. руб.</w:t>
                  </w:r>
                </w:p>
              </w:tc>
              <w:tc>
                <w:tcPr>
                  <w:tcW w:w="8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уд. вес, %</w:t>
                  </w:r>
                </w:p>
              </w:tc>
              <w:tc>
                <w:tcPr>
                  <w:tcW w:w="10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Тыс. руб.</w:t>
                  </w:r>
                </w:p>
              </w:tc>
              <w:tc>
                <w:tcPr>
                  <w:tcW w:w="61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уд. Вес п.п.</w:t>
                  </w:r>
                </w:p>
              </w:tc>
              <w:tc>
                <w:tcPr>
                  <w:tcW w:w="82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r>
            <w:tr w:rsidR="00383303" w:rsidRPr="00383303" w:rsidTr="00383303">
              <w:trPr>
                <w:jc w:val="center"/>
              </w:trPr>
              <w:tc>
                <w:tcPr>
                  <w:tcW w:w="1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w:t>
                  </w:r>
                </w:p>
              </w:tc>
              <w:tc>
                <w:tcPr>
                  <w:tcW w:w="295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105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6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8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c>
                <w:tcPr>
                  <w:tcW w:w="102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w:t>
                  </w:r>
                </w:p>
              </w:tc>
              <w:tc>
                <w:tcPr>
                  <w:tcW w:w="61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w:t>
                  </w:r>
                </w:p>
              </w:tc>
              <w:tc>
                <w:tcPr>
                  <w:tcW w:w="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w:t>
                  </w:r>
                </w:p>
              </w:tc>
            </w:tr>
            <w:tr w:rsidR="00383303" w:rsidRPr="00383303" w:rsidTr="00383303">
              <w:trPr>
                <w:jc w:val="center"/>
              </w:trPr>
              <w:tc>
                <w:tcPr>
                  <w:tcW w:w="1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w:t>
                  </w:r>
                </w:p>
              </w:tc>
              <w:tc>
                <w:tcPr>
                  <w:tcW w:w="295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 Промышленно-производственные основные фонды (ППОФ), тыс. руб.</w:t>
                  </w:r>
                </w:p>
              </w:tc>
              <w:tc>
                <w:tcPr>
                  <w:tcW w:w="105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58900969</w:t>
                  </w:r>
                </w:p>
              </w:tc>
              <w:tc>
                <w:tcPr>
                  <w:tcW w:w="6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94,02</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71205331</w:t>
                  </w:r>
                </w:p>
              </w:tc>
              <w:tc>
                <w:tcPr>
                  <w:tcW w:w="8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93,30</w:t>
                  </w:r>
                </w:p>
              </w:tc>
              <w:tc>
                <w:tcPr>
                  <w:tcW w:w="102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+12304362</w:t>
                  </w:r>
                </w:p>
              </w:tc>
              <w:tc>
                <w:tcPr>
                  <w:tcW w:w="61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-0,72</w:t>
                  </w:r>
                </w:p>
              </w:tc>
              <w:tc>
                <w:tcPr>
                  <w:tcW w:w="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120,89</w:t>
                  </w:r>
                </w:p>
              </w:tc>
            </w:tr>
            <w:tr w:rsidR="00383303" w:rsidRPr="00383303" w:rsidTr="00383303">
              <w:trPr>
                <w:jc w:val="center"/>
              </w:trPr>
              <w:tc>
                <w:tcPr>
                  <w:tcW w:w="1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w:t>
                  </w:r>
                </w:p>
              </w:tc>
              <w:tc>
                <w:tcPr>
                  <w:tcW w:w="295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 Основные средства других производственных отраслей, тыс. руб.</w:t>
                  </w:r>
                </w:p>
              </w:tc>
              <w:tc>
                <w:tcPr>
                  <w:tcW w:w="105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58097</w:t>
                  </w:r>
                </w:p>
              </w:tc>
              <w:tc>
                <w:tcPr>
                  <w:tcW w:w="6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0,09</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76830</w:t>
                  </w:r>
                </w:p>
              </w:tc>
              <w:tc>
                <w:tcPr>
                  <w:tcW w:w="8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0,10</w:t>
                  </w:r>
                </w:p>
              </w:tc>
              <w:tc>
                <w:tcPr>
                  <w:tcW w:w="102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18733</w:t>
                  </w:r>
                </w:p>
              </w:tc>
              <w:tc>
                <w:tcPr>
                  <w:tcW w:w="61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+0,01</w:t>
                  </w:r>
                </w:p>
              </w:tc>
              <w:tc>
                <w:tcPr>
                  <w:tcW w:w="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132,24</w:t>
                  </w:r>
                </w:p>
              </w:tc>
            </w:tr>
            <w:tr w:rsidR="00383303" w:rsidRPr="00383303" w:rsidTr="00383303">
              <w:trPr>
                <w:jc w:val="center"/>
              </w:trPr>
              <w:tc>
                <w:tcPr>
                  <w:tcW w:w="1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w:t>
                  </w:r>
                </w:p>
              </w:tc>
              <w:tc>
                <w:tcPr>
                  <w:tcW w:w="295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 Основные средства непроизводственных отраслей, тыс. руб.</w:t>
                  </w:r>
                </w:p>
              </w:tc>
              <w:tc>
                <w:tcPr>
                  <w:tcW w:w="105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3695034</w:t>
                  </w:r>
                </w:p>
              </w:tc>
              <w:tc>
                <w:tcPr>
                  <w:tcW w:w="6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5,89</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5039653</w:t>
                  </w:r>
                </w:p>
              </w:tc>
              <w:tc>
                <w:tcPr>
                  <w:tcW w:w="8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6,60</w:t>
                  </w:r>
                </w:p>
              </w:tc>
              <w:tc>
                <w:tcPr>
                  <w:tcW w:w="102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+1344619</w:t>
                  </w:r>
                </w:p>
              </w:tc>
              <w:tc>
                <w:tcPr>
                  <w:tcW w:w="61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+0,71</w:t>
                  </w:r>
                </w:p>
              </w:tc>
              <w:tc>
                <w:tcPr>
                  <w:tcW w:w="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136,39</w:t>
                  </w:r>
                </w:p>
              </w:tc>
            </w:tr>
            <w:tr w:rsidR="00383303" w:rsidRPr="00383303" w:rsidTr="00383303">
              <w:trPr>
                <w:jc w:val="center"/>
              </w:trPr>
              <w:tc>
                <w:tcPr>
                  <w:tcW w:w="1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w:t>
                  </w:r>
                </w:p>
              </w:tc>
              <w:tc>
                <w:tcPr>
                  <w:tcW w:w="295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Итого</w:t>
                  </w:r>
                </w:p>
              </w:tc>
              <w:tc>
                <w:tcPr>
                  <w:tcW w:w="105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62654100</w:t>
                  </w:r>
                </w:p>
              </w:tc>
              <w:tc>
                <w:tcPr>
                  <w:tcW w:w="6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100</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76321814</w:t>
                  </w:r>
                </w:p>
              </w:tc>
              <w:tc>
                <w:tcPr>
                  <w:tcW w:w="8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100</w:t>
                  </w:r>
                </w:p>
              </w:tc>
              <w:tc>
                <w:tcPr>
                  <w:tcW w:w="102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13667714</w:t>
                  </w:r>
                </w:p>
              </w:tc>
              <w:tc>
                <w:tcPr>
                  <w:tcW w:w="61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Х</w:t>
                  </w:r>
                </w:p>
              </w:tc>
              <w:tc>
                <w:tcPr>
                  <w:tcW w:w="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121,81</w:t>
                  </w:r>
                </w:p>
              </w:tc>
            </w:tr>
            <w:tr w:rsidR="00383303" w:rsidRPr="00383303" w:rsidTr="00383303">
              <w:trPr>
                <w:jc w:val="center"/>
              </w:trPr>
              <w:tc>
                <w:tcPr>
                  <w:tcW w:w="1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27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10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3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6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3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6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1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c>
                <w:tcPr>
                  <w:tcW w:w="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
                      <w:szCs w:val="18"/>
                      <w:lang w:eastAsia="ru-RU"/>
                    </w:rPr>
                  </w:pPr>
                </w:p>
              </w:tc>
            </w:tr>
          </w:tbl>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Данные таблицы показывают, что стоимость основных фондов предприятия увеличилась за год на 13667714 тыс. руб., в т.ч. за счёт ППОФ – на 12304362 тыс. руб., а за счет увеличения стоимости основных непроизводственных фондов – стоимость основных средств предприятия выросла на 1344619 тыс. руб. Стоимость ППОФ других отраслей увеличилась на конец года по сравнению с началом на 18733 тыс. руб.. Произошло снижение удельного веса ППОФ на 0,72 п.п. при одновременном увеличении удельного веса основных средств непроизводственных отраслей на 0,7 п.п. Удельный вес основных средств других производственных отраслей незначительно вырос ( на 0,01 п.п.).</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ППОФ занимают наибольший удельный вес в составе основных средств предприятия и непосредственно связаны с выпуском продукции. ППОФ неоднородны по своему натурально- вещественному составу и подразделяются на виды. Одна часть ППОФ непосредственно воздействует на предмет труда и является активной, другая часть создает необходимые условия для труда и является пассивной.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6 - Состав, структура и динамика основных фондов предприятия ( 2009г)</w:t>
            </w:r>
          </w:p>
          <w:tbl>
            <w:tblPr>
              <w:tblW w:w="9240" w:type="dxa"/>
              <w:tblInd w:w="75" w:type="dxa"/>
              <w:tblCellMar>
                <w:left w:w="0" w:type="dxa"/>
                <w:right w:w="0" w:type="dxa"/>
              </w:tblCellMar>
              <w:tblLook w:val="04A0" w:firstRow="1" w:lastRow="0" w:firstColumn="1" w:lastColumn="0" w:noHBand="0" w:noVBand="1"/>
            </w:tblPr>
            <w:tblGrid>
              <w:gridCol w:w="3300"/>
              <w:gridCol w:w="1020"/>
              <w:gridCol w:w="675"/>
              <w:gridCol w:w="1230"/>
              <w:gridCol w:w="615"/>
              <w:gridCol w:w="990"/>
              <w:gridCol w:w="705"/>
              <w:gridCol w:w="705"/>
            </w:tblGrid>
            <w:tr w:rsidR="00383303" w:rsidRPr="00383303" w:rsidTr="00383303">
              <w:trPr>
                <w:cantSplit/>
                <w:trHeight w:val="912"/>
              </w:trPr>
              <w:tc>
                <w:tcPr>
                  <w:tcW w:w="3300" w:type="dxa"/>
                  <w:vMerge w:val="restart"/>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lastRenderedPageBreak/>
                    <w:t>Группы основных фондов и их наименования</w:t>
                  </w:r>
                </w:p>
              </w:tc>
              <w:tc>
                <w:tcPr>
                  <w:tcW w:w="1695" w:type="dxa"/>
                  <w:gridSpan w:val="2"/>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На начало года</w:t>
                  </w:r>
                </w:p>
              </w:tc>
              <w:tc>
                <w:tcPr>
                  <w:tcW w:w="1845" w:type="dxa"/>
                  <w:gridSpan w:val="2"/>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На конец года</w:t>
                  </w:r>
                </w:p>
              </w:tc>
              <w:tc>
                <w:tcPr>
                  <w:tcW w:w="1695" w:type="dxa"/>
                  <w:gridSpan w:val="2"/>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Изменение за год</w:t>
                  </w:r>
                </w:p>
              </w:tc>
              <w:tc>
                <w:tcPr>
                  <w:tcW w:w="705" w:type="dxa"/>
                  <w:vMerge w:val="restart"/>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Темп роста, %</w:t>
                  </w:r>
                </w:p>
              </w:tc>
            </w:tr>
            <w:tr w:rsidR="00383303" w:rsidRPr="00383303" w:rsidTr="00383303">
              <w:trPr>
                <w:cantSplit/>
                <w:trHeight w:val="432"/>
              </w:trPr>
              <w:tc>
                <w:tcPr>
                  <w:tcW w:w="0" w:type="auto"/>
                  <w:vMerge/>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сумма, тыс. руб.</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уд. вес,%</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сумма, тыс. руб.</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уд. вес,%</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сумма, тыс. руб.</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уд. вес, п.п.</w:t>
                  </w:r>
                </w:p>
              </w:tc>
              <w:tc>
                <w:tcPr>
                  <w:tcW w:w="0" w:type="auto"/>
                  <w:vMerge/>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w:t>
                  </w:r>
                </w:p>
              </w:tc>
            </w:tr>
            <w:tr w:rsidR="00383303" w:rsidRPr="00383303" w:rsidTr="00383303">
              <w:trPr>
                <w:trHeight w:val="432"/>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 Промышленно-производстве нные основные средства</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58900969</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94,01</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71205331</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93,2</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+12304362</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-0,81</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120,89</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 Здания</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23755009</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37,92</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31454149</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41,22</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+7699140</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+3,3</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132,41</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 Сооружения</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1690053</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2,69</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2235912</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2,93</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+545859</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+0,24</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132,9</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 Передаточные устройства</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1101989</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1,76</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1656289</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2,17</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+554300</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+0,41</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150,3</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 Машины и оборудование</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30078719</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48,0</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32670965</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42,81</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+2592246</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-5,19</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108,62</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1.4.1 Силовые машины и оборудование</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1136275</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1,82</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1312600</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1,72</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+176325</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115,52</w:t>
                  </w:r>
                </w:p>
              </w:tc>
            </w:tr>
            <w:tr w:rsidR="00383303" w:rsidRPr="00383303" w:rsidTr="00383303">
              <w:trPr>
                <w:trHeight w:val="85"/>
              </w:trPr>
              <w:tc>
                <w:tcPr>
                  <w:tcW w:w="3300" w:type="dxa"/>
                  <w:hideMark/>
                </w:tcPr>
                <w:p w:rsidR="00383303" w:rsidRPr="00383303" w:rsidRDefault="00383303" w:rsidP="00383303">
                  <w:pPr>
                    <w:spacing w:after="0" w:line="8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1.4.2 Рабочие машины и оборудование</w:t>
                  </w:r>
                </w:p>
              </w:tc>
              <w:tc>
                <w:tcPr>
                  <w:tcW w:w="1020" w:type="dxa"/>
                  <w:hideMark/>
                </w:tcPr>
                <w:p w:rsidR="00383303" w:rsidRPr="00383303" w:rsidRDefault="00383303" w:rsidP="00383303">
                  <w:pPr>
                    <w:spacing w:after="0" w:line="8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27809264</w:t>
                  </w:r>
                </w:p>
              </w:tc>
              <w:tc>
                <w:tcPr>
                  <w:tcW w:w="675" w:type="dxa"/>
                  <w:hideMark/>
                </w:tcPr>
                <w:p w:rsidR="00383303" w:rsidRPr="00383303" w:rsidRDefault="00383303" w:rsidP="00383303">
                  <w:pPr>
                    <w:spacing w:after="0" w:line="8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44,38</w:t>
                  </w:r>
                </w:p>
              </w:tc>
              <w:tc>
                <w:tcPr>
                  <w:tcW w:w="1230" w:type="dxa"/>
                  <w:hideMark/>
                </w:tcPr>
                <w:p w:rsidR="00383303" w:rsidRPr="00383303" w:rsidRDefault="00383303" w:rsidP="00383303">
                  <w:pPr>
                    <w:spacing w:after="0" w:line="8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29966250</w:t>
                  </w:r>
                </w:p>
              </w:tc>
              <w:tc>
                <w:tcPr>
                  <w:tcW w:w="600" w:type="dxa"/>
                  <w:hideMark/>
                </w:tcPr>
                <w:p w:rsidR="00383303" w:rsidRPr="00383303" w:rsidRDefault="00383303" w:rsidP="00383303">
                  <w:pPr>
                    <w:spacing w:after="0" w:line="8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39,26</w:t>
                  </w:r>
                </w:p>
              </w:tc>
              <w:tc>
                <w:tcPr>
                  <w:tcW w:w="990" w:type="dxa"/>
                  <w:hideMark/>
                </w:tcPr>
                <w:p w:rsidR="00383303" w:rsidRPr="00383303" w:rsidRDefault="00383303" w:rsidP="00383303">
                  <w:pPr>
                    <w:spacing w:after="0" w:line="8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+2156986</w:t>
                  </w:r>
                </w:p>
              </w:tc>
              <w:tc>
                <w:tcPr>
                  <w:tcW w:w="705" w:type="dxa"/>
                  <w:hideMark/>
                </w:tcPr>
                <w:p w:rsidR="00383303" w:rsidRPr="00383303" w:rsidRDefault="00383303" w:rsidP="00383303">
                  <w:pPr>
                    <w:spacing w:after="0" w:line="8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-5,12</w:t>
                  </w:r>
                </w:p>
              </w:tc>
              <w:tc>
                <w:tcPr>
                  <w:tcW w:w="705" w:type="dxa"/>
                  <w:hideMark/>
                </w:tcPr>
                <w:p w:rsidR="00383303" w:rsidRPr="00383303" w:rsidRDefault="00383303" w:rsidP="00383303">
                  <w:pPr>
                    <w:spacing w:after="0" w:line="8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107,76</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1.4.3 Измерительные и регулирующие приборы, устройства и лабораторное оборудование</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188382</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0,3</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269006</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0,35</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+80024</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0,05</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142,8</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1.4.4 Вычислительная техника</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825484</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1,32</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965389</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1,26</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139905</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-0,06</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116,95</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1.5 Транспортные средства</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3115202</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3,38</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2948284</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3,86</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+833082</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+0,48</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139,38</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1.6 Инструмент, производственный и хозяйственный инвентарь и другие виды основных средств</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153213</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0,24</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228540</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0,29</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+75327</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+0,05</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149,16</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 Производственные основные фонды других отраслей</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58097</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0,09</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77830</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0,10</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+19733</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+0,01</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133,96</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 Непроизводственные основные фонды</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3695035</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5,9</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5039653</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6,7</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+1344619</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+0,8</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136,39</w:t>
                  </w:r>
                </w:p>
              </w:tc>
            </w:tr>
            <w:tr w:rsidR="00383303" w:rsidRPr="00383303" w:rsidTr="00383303">
              <w:trPr>
                <w:trHeight w:val="304"/>
              </w:trPr>
              <w:tc>
                <w:tcPr>
                  <w:tcW w:w="33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ВСЕГО основных фондов</w:t>
                  </w:r>
                </w:p>
              </w:tc>
              <w:tc>
                <w:tcPr>
                  <w:tcW w:w="102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62654100</w:t>
                  </w:r>
                </w:p>
              </w:tc>
              <w:tc>
                <w:tcPr>
                  <w:tcW w:w="67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100</w:t>
                  </w:r>
                </w:p>
              </w:tc>
              <w:tc>
                <w:tcPr>
                  <w:tcW w:w="123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76321814</w:t>
                  </w:r>
                </w:p>
              </w:tc>
              <w:tc>
                <w:tcPr>
                  <w:tcW w:w="60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100</w:t>
                  </w:r>
                </w:p>
              </w:tc>
              <w:tc>
                <w:tcPr>
                  <w:tcW w:w="990"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13667714</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Х</w:t>
                  </w:r>
                </w:p>
              </w:tc>
              <w:tc>
                <w:tcPr>
                  <w:tcW w:w="705" w:type="dxa"/>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121,81</w:t>
                  </w:r>
                </w:p>
              </w:tc>
            </w:tr>
          </w:tbl>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Данные таблицы показывают, что стоимость ППОФ увеличилась за год на 12304362 тыс. руб., темп роста составил 120,89%. При этом произошли некоторые структурные изменения – уд. вес зданий, сооружений, передаточных устройств незначительно увеличился на 3,3, 0,24, 0,41 п.п. соответственно; уд. вес машин и оборудования в свою очередь снизился на 5,19 п.п. По основному составляющему ППОФ, машинам и оборудованию, наблюдается увеличение стоимости – на 2592246 тыс.р., темп роста составил 108,62%, что можно назвать положительным моментом. В целом темп роста по всем основным фондам составил 121,81%, стоимость возросла за год на 13667714 тыс. р.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Обобщающими показателями технического состояния основных фондов являются коэффициенты износа и годности. Коэффициенты износа и годности рассчитываются как на начало периода, так и на конец (отчётную дату). Чем ниже коэффициент износа (выше коэффициент годности), тем лучше техническое состояние, в котором находятся основные фонды.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 ДОКу данные о степени изношенности основных средств приведены в таблице 7:</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7 – Анализ изношенности основных средств ( 2009г)</w:t>
            </w:r>
          </w:p>
          <w:tbl>
            <w:tblPr>
              <w:tblW w:w="0" w:type="auto"/>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795"/>
              <w:gridCol w:w="1425"/>
              <w:gridCol w:w="990"/>
              <w:gridCol w:w="1275"/>
              <w:gridCol w:w="1425"/>
            </w:tblGrid>
            <w:tr w:rsidR="00383303" w:rsidRPr="00383303" w:rsidTr="00383303">
              <w:tc>
                <w:tcPr>
                  <w:tcW w:w="3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75" w:after="75" w:line="240" w:lineRule="auto"/>
                    <w:ind w:left="75" w:right="75"/>
                    <w:jc w:val="center"/>
                    <w:outlineLvl w:val="0"/>
                    <w:rPr>
                      <w:rFonts w:ascii="Arial" w:eastAsia="Times New Roman" w:hAnsi="Arial" w:cs="Arial"/>
                      <w:b/>
                      <w:bCs/>
                      <w:kern w:val="36"/>
                      <w:sz w:val="33"/>
                      <w:szCs w:val="33"/>
                      <w:lang w:eastAsia="ru-RU"/>
                    </w:rPr>
                  </w:pPr>
                  <w:r w:rsidRPr="00383303">
                    <w:rPr>
                      <w:rFonts w:ascii="Arial" w:eastAsia="Times New Roman" w:hAnsi="Arial" w:cs="Arial"/>
                      <w:b/>
                      <w:bCs/>
                      <w:kern w:val="36"/>
                      <w:sz w:val="33"/>
                      <w:szCs w:val="33"/>
                      <w:lang w:eastAsia="ru-RU"/>
                    </w:rPr>
                    <w:t>Показатели</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Единица измерения</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На начало года</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На конец года</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Изменение за год (+,-)</w:t>
                  </w:r>
                </w:p>
              </w:tc>
            </w:tr>
            <w:tr w:rsidR="00383303" w:rsidRPr="00383303" w:rsidTr="00383303">
              <w:tc>
                <w:tcPr>
                  <w:tcW w:w="3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75" w:after="75" w:line="240" w:lineRule="auto"/>
                    <w:ind w:left="75" w:right="75"/>
                    <w:jc w:val="center"/>
                    <w:outlineLvl w:val="0"/>
                    <w:rPr>
                      <w:rFonts w:ascii="Arial" w:eastAsia="Times New Roman" w:hAnsi="Arial" w:cs="Arial"/>
                      <w:b/>
                      <w:bCs/>
                      <w:kern w:val="36"/>
                      <w:sz w:val="33"/>
                      <w:szCs w:val="33"/>
                      <w:lang w:eastAsia="ru-RU"/>
                    </w:rPr>
                  </w:pPr>
                  <w:r w:rsidRPr="00383303">
                    <w:rPr>
                      <w:rFonts w:ascii="Arial" w:eastAsia="Times New Roman" w:hAnsi="Arial" w:cs="Arial"/>
                      <w:b/>
                      <w:bCs/>
                      <w:kern w:val="36"/>
                      <w:sz w:val="33"/>
                      <w:szCs w:val="33"/>
                      <w:lang w:eastAsia="ru-RU"/>
                    </w:rPr>
                    <w:t>А</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r>
            <w:tr w:rsidR="00383303" w:rsidRPr="00383303" w:rsidTr="00383303">
              <w:tc>
                <w:tcPr>
                  <w:tcW w:w="3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 Первоначальная стоимость основных средств</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млн. руб.</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86835</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87016</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+181</w:t>
                  </w:r>
                </w:p>
              </w:tc>
            </w:tr>
            <w:tr w:rsidR="00383303" w:rsidRPr="00383303" w:rsidTr="00383303">
              <w:tc>
                <w:tcPr>
                  <w:tcW w:w="3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 Износ основных средств за время их эксплуатации</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млн руб.</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56760</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55335</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-1425</w:t>
                  </w:r>
                </w:p>
              </w:tc>
            </w:tr>
            <w:tr w:rsidR="00383303" w:rsidRPr="00383303" w:rsidTr="00383303">
              <w:tc>
                <w:tcPr>
                  <w:tcW w:w="3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 Степень изношенности основных средств</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65,36</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63,59</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-1,77</w:t>
                  </w:r>
                </w:p>
              </w:tc>
            </w:tr>
            <w:tr w:rsidR="00383303" w:rsidRPr="00383303" w:rsidTr="00383303">
              <w:tc>
                <w:tcPr>
                  <w:tcW w:w="37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 Степень годности основных средств</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34,64</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36,41</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+1,77</w:t>
                  </w:r>
                </w:p>
              </w:tc>
            </w:tr>
          </w:tbl>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lastRenderedPageBreak/>
              <w:t>Несмотря на то, что на конец года стоимость основных средств увеличилась на 181 млн.руб сумма износа за год снизилась на 1425 млн. руб., степень изношенности основных фондов снизилась на 1,77 пр.п., соответственно степень годности увеличилась на 1,77 пр.п., что оценивается как общее улучшение их технического состояния.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Подводя итоги можно отметить, что стоимость основных фондов предприятия увеличилась за год на 181 млн. руб., в т.ч. за счёт ППОФ – на 12304 млн. руб.,(темпы роста составили 121,81% и 120,89% соответственно), а за счет увеличения стоимости основных непроизводственных фондов – стоимость основных средств предприятия увеличилась на 1344 млн. руб. Произошло снижение удельного веса ППОФ на 0,81 п.п. при одновременном увеличении удельного веса основных средств непроизводственных отраслей на 0,8 п.п. Удельный вес основных средств других производственных отраслей увеличился на 0,01 п.п.. По основному составляющему ППОФ, машинам и оборудованию, наблюдается увеличение стоимости – на 2592 млн.р., темп роста составил 108,62%, что можно назвать положительным моментом. Сумма износа за год снизилась на 1425 млн. руб., степень изношенности основных фондов снизилась на 18,09 пр.п., соответственно степень годности увеличилась на 18,09 пр.п, и составляет 27,5%(степень износа, соответственно, 72,5%).</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2.3 Анализ движения основных средств и интенсивности их обновления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Далее, чтобы изучить динамику основных фондов, выделим активную часть промышленно-производственных основных фондов.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Составим таблицу 8. Анализируя полученные результаты , можно отметить, что стоимость основных средств ДОКа увеличилась на 13667714 тыс. р., в том числе промышленно производственных основных фондов – на 12304362 тыс. р., их активной части – на 4054956 тыс. р. Производственные основные фонды других отраслей увеличились в сумме на 18733 тыс. р., а непроизводственные основные фонды – на 1344619 тыс. р. Т. е. значительное увеличение стоимости наблюдается как по основным фондам в целом, так и по отдельным их подразделениям, но при весьма низком введении фондов в действие. Эта разница образуется за счёт проведенной в 2009 году переоценки, весьма значительной по своей сумме. Следовательно, на следующем этапе целесообразно учесть сумму переоценки и изучить наличие и динамику основных средств без её влияния.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Рассмотрим ситуацию с движением основных средств без влияния переоценки, для чего составляем таблицу 9.</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Из данных таблицы 9 следует, что, без влияния переоценки, сумма основных средств предприятия снизилась на 9,51 п.п. ввиду превышения выбытия над поступлением на 6584685 тыс.руб. Стоимость промышленно-производственных основных фондов снизилась на 10,68 п.п., производственных основных фондов других отраслей – осталась без изменений с одновременным увеличением стоимости непроизводственных основных фондов на 9,04 п.п</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8 - Наличие, движение и динамика основных средств ДОКа в 2009 году</w:t>
            </w:r>
          </w:p>
          <w:tbl>
            <w:tblPr>
              <w:tblW w:w="14550"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39"/>
              <w:gridCol w:w="1487"/>
              <w:gridCol w:w="1411"/>
              <w:gridCol w:w="1426"/>
              <w:gridCol w:w="1411"/>
              <w:gridCol w:w="1562"/>
              <w:gridCol w:w="1697"/>
              <w:gridCol w:w="1411"/>
              <w:gridCol w:w="706"/>
            </w:tblGrid>
            <w:tr w:rsidR="00383303" w:rsidRPr="00383303" w:rsidTr="00383303">
              <w:trPr>
                <w:cantSplit/>
                <w:trHeight w:val="251"/>
              </w:trPr>
              <w:tc>
                <w:tcPr>
                  <w:tcW w:w="3435"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Основные фонды</w:t>
                  </w:r>
                </w:p>
              </w:tc>
              <w:tc>
                <w:tcPr>
                  <w:tcW w:w="1485"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Наличие на начало года, тыс. руб.</w:t>
                  </w:r>
                </w:p>
              </w:tc>
              <w:tc>
                <w:tcPr>
                  <w:tcW w:w="283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Поступление за год, тыс. руб.</w:t>
                  </w:r>
                </w:p>
              </w:tc>
              <w:tc>
                <w:tcPr>
                  <w:tcW w:w="297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Выбыло за год, тыс. руб.</w:t>
                  </w:r>
                </w:p>
              </w:tc>
              <w:tc>
                <w:tcPr>
                  <w:tcW w:w="1695"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Наличие на конец года, тыс. руб.</w:t>
                  </w:r>
                </w:p>
              </w:tc>
              <w:tc>
                <w:tcPr>
                  <w:tcW w:w="1410"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Превышение поступления над выбытием, тыс. руб.</w:t>
                  </w:r>
                </w:p>
              </w:tc>
              <w:tc>
                <w:tcPr>
                  <w:tcW w:w="705"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Темп роста, %</w:t>
                  </w:r>
                </w:p>
              </w:tc>
            </w:tr>
            <w:tr w:rsidR="00383303" w:rsidRPr="00383303" w:rsidTr="00383303">
              <w:trPr>
                <w:cantSplit/>
                <w:trHeight w:val="1270"/>
              </w:trPr>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всего</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 том числе введено новых основных фондов</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всего</w:t>
                  </w:r>
                </w:p>
              </w:tc>
              <w:tc>
                <w:tcPr>
                  <w:tcW w:w="15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 том числе ликвидировано</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r>
            <w:tr w:rsidR="00383303" w:rsidRPr="00383303" w:rsidTr="00383303">
              <w:trPr>
                <w:trHeight w:val="65"/>
              </w:trPr>
              <w:tc>
                <w:tcPr>
                  <w:tcW w:w="34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14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c>
                <w:tcPr>
                  <w:tcW w:w="15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w:t>
                  </w:r>
                </w:p>
              </w:tc>
              <w:tc>
                <w:tcPr>
                  <w:tcW w:w="7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w:t>
                  </w:r>
                </w:p>
              </w:tc>
            </w:tr>
            <w:tr w:rsidR="00383303" w:rsidRPr="00383303" w:rsidTr="00383303">
              <w:trPr>
                <w:trHeight w:val="252"/>
              </w:trPr>
              <w:tc>
                <w:tcPr>
                  <w:tcW w:w="34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 Промышленно-производствен ные основные фондыв том числе:</w:t>
                  </w:r>
                </w:p>
              </w:tc>
              <w:tc>
                <w:tcPr>
                  <w:tcW w:w="14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58900969</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21321675</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2432501</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9017313</w:t>
                  </w:r>
                </w:p>
              </w:tc>
              <w:tc>
                <w:tcPr>
                  <w:tcW w:w="15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460946</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71205331</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12304362</w:t>
                  </w:r>
                </w:p>
              </w:tc>
              <w:tc>
                <w:tcPr>
                  <w:tcW w:w="7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120,1</w:t>
                  </w:r>
                </w:p>
              </w:tc>
            </w:tr>
            <w:tr w:rsidR="00383303" w:rsidRPr="00383303" w:rsidTr="00383303">
              <w:trPr>
                <w:trHeight w:val="656"/>
              </w:trPr>
              <w:tc>
                <w:tcPr>
                  <w:tcW w:w="34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 Активная часть промышленно-производственных основных фондов</w:t>
                  </w:r>
                </w:p>
              </w:tc>
              <w:tc>
                <w:tcPr>
                  <w:tcW w:w="14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33449123</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10728197</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88429</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6673241</w:t>
                  </w:r>
                </w:p>
              </w:tc>
              <w:tc>
                <w:tcPr>
                  <w:tcW w:w="15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460946</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37504079</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4054956</w:t>
                  </w:r>
                </w:p>
              </w:tc>
              <w:tc>
                <w:tcPr>
                  <w:tcW w:w="7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112,1</w:t>
                  </w:r>
                </w:p>
              </w:tc>
            </w:tr>
            <w:tr w:rsidR="00383303" w:rsidRPr="00383303" w:rsidTr="00383303">
              <w:trPr>
                <w:trHeight w:val="432"/>
              </w:trPr>
              <w:tc>
                <w:tcPr>
                  <w:tcW w:w="34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 Производственные основные фонды других отраслей</w:t>
                  </w:r>
                </w:p>
              </w:tc>
              <w:tc>
                <w:tcPr>
                  <w:tcW w:w="14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58097</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18733</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5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77830</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18733</w:t>
                  </w:r>
                </w:p>
              </w:tc>
              <w:tc>
                <w:tcPr>
                  <w:tcW w:w="7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133,9</w:t>
                  </w:r>
                </w:p>
              </w:tc>
            </w:tr>
            <w:tr w:rsidR="00383303" w:rsidRPr="00383303" w:rsidTr="00383303">
              <w:trPr>
                <w:trHeight w:val="432"/>
              </w:trPr>
              <w:tc>
                <w:tcPr>
                  <w:tcW w:w="34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lastRenderedPageBreak/>
                    <w:t>3. Непроизводственные основные фонды</w:t>
                  </w:r>
                </w:p>
              </w:tc>
              <w:tc>
                <w:tcPr>
                  <w:tcW w:w="14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3695034</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1498748</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154129</w:t>
                  </w:r>
                </w:p>
              </w:tc>
              <w:tc>
                <w:tcPr>
                  <w:tcW w:w="15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5039653</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1344619</w:t>
                  </w:r>
                </w:p>
              </w:tc>
              <w:tc>
                <w:tcPr>
                  <w:tcW w:w="7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136,4</w:t>
                  </w:r>
                </w:p>
              </w:tc>
            </w:tr>
            <w:tr w:rsidR="00383303" w:rsidRPr="00383303" w:rsidTr="00383303">
              <w:trPr>
                <w:trHeight w:val="65"/>
              </w:trPr>
              <w:tc>
                <w:tcPr>
                  <w:tcW w:w="34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Всего</w:t>
                  </w:r>
                </w:p>
              </w:tc>
              <w:tc>
                <w:tcPr>
                  <w:tcW w:w="14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62654100</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22839156</w:t>
                  </w:r>
                </w:p>
              </w:tc>
              <w:tc>
                <w:tcPr>
                  <w:tcW w:w="142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2432501</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15690427</w:t>
                  </w:r>
                </w:p>
              </w:tc>
              <w:tc>
                <w:tcPr>
                  <w:tcW w:w="15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460946</w:t>
                  </w:r>
                </w:p>
              </w:tc>
              <w:tc>
                <w:tcPr>
                  <w:tcW w:w="169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76322814</w:t>
                  </w:r>
                </w:p>
              </w:tc>
              <w:tc>
                <w:tcPr>
                  <w:tcW w:w="141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13667714</w:t>
                  </w:r>
                </w:p>
              </w:tc>
              <w:tc>
                <w:tcPr>
                  <w:tcW w:w="70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5"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121,8</w:t>
                  </w:r>
                </w:p>
              </w:tc>
            </w:tr>
          </w:tbl>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9 - Наличие, движение и динамика основных средств ДОКа в 2009 году (без влияния переоценки)</w:t>
            </w:r>
          </w:p>
          <w:tbl>
            <w:tblPr>
              <w:tblW w:w="0" w:type="auto"/>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514"/>
              <w:gridCol w:w="627"/>
              <w:gridCol w:w="627"/>
              <w:gridCol w:w="630"/>
              <w:gridCol w:w="627"/>
              <w:gridCol w:w="551"/>
              <w:gridCol w:w="995"/>
              <w:gridCol w:w="1263"/>
              <w:gridCol w:w="764"/>
              <w:gridCol w:w="856"/>
              <w:gridCol w:w="810"/>
            </w:tblGrid>
            <w:tr w:rsidR="00383303" w:rsidRPr="00383303" w:rsidTr="00383303">
              <w:trPr>
                <w:cantSplit/>
                <w:trHeight w:val="109"/>
              </w:trPr>
              <w:tc>
                <w:tcPr>
                  <w:tcW w:w="2370"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109"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Основные фонды</w:t>
                  </w:r>
                </w:p>
              </w:tc>
              <w:tc>
                <w:tcPr>
                  <w:tcW w:w="1260"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109"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Наличие на начало года, тыс. руб.</w:t>
                  </w:r>
                </w:p>
              </w:tc>
              <w:tc>
                <w:tcPr>
                  <w:tcW w:w="3600" w:type="dxa"/>
                  <w:gridSpan w:val="3"/>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109"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Поступление за год, тыс. руб.</w:t>
                  </w:r>
                </w:p>
              </w:tc>
              <w:tc>
                <w:tcPr>
                  <w:tcW w:w="234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109"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Выбыло за год, тыс. руб.</w:t>
                  </w:r>
                </w:p>
              </w:tc>
              <w:tc>
                <w:tcPr>
                  <w:tcW w:w="252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109"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Наличие на конец года, тыс. руб.</w:t>
                  </w:r>
                </w:p>
              </w:tc>
              <w:tc>
                <w:tcPr>
                  <w:tcW w:w="1260"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109"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Превышение поступления над выбытием, тыс. руб.</w:t>
                  </w:r>
                </w:p>
              </w:tc>
              <w:tc>
                <w:tcPr>
                  <w:tcW w:w="1185"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109"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Темп роста, % (без влияния переоценки)</w:t>
                  </w:r>
                </w:p>
              </w:tc>
            </w:tr>
            <w:tr w:rsidR="00383303" w:rsidRPr="00383303" w:rsidTr="00383303">
              <w:trPr>
                <w:cantSplit/>
                <w:trHeight w:val="1270"/>
              </w:trPr>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всего</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 том числе введено новых основных фондов</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дооценка</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всего</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 том числе ликвидировано</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восстановительная стоимость</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стоимость без учёта переоценки</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r>
            <w:tr w:rsidR="00383303" w:rsidRPr="00383303" w:rsidTr="00383303">
              <w:trPr>
                <w:trHeight w:val="72"/>
              </w:trPr>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2"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2"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2"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2"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2"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2"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2"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2"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2"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2"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w:t>
                  </w:r>
                </w:p>
              </w:tc>
              <w:tc>
                <w:tcPr>
                  <w:tcW w:w="11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2"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w:t>
                  </w:r>
                </w:p>
              </w:tc>
            </w:tr>
            <w:tr w:rsidR="00383303" w:rsidRPr="00383303" w:rsidTr="00383303">
              <w:trPr>
                <w:trHeight w:val="872"/>
              </w:trPr>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 Промышленно-производственные основные фонды в том числе:</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58900969</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21321675</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2432501</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18595423</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9017313</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460946</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71205331</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52609908</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-6584812</w:t>
                  </w:r>
                </w:p>
              </w:tc>
              <w:tc>
                <w:tcPr>
                  <w:tcW w:w="11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89,32</w:t>
                  </w:r>
                </w:p>
              </w:tc>
            </w:tr>
            <w:tr w:rsidR="00383303" w:rsidRPr="00383303" w:rsidTr="00383303">
              <w:trPr>
                <w:trHeight w:val="432"/>
              </w:trPr>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 Производственные основные фонды других отраслей</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58097</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18733</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18733</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77830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58097</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1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100</w:t>
                  </w:r>
                </w:p>
              </w:tc>
            </w:tr>
            <w:tr w:rsidR="00383303" w:rsidRPr="00383303" w:rsidTr="00383303">
              <w:trPr>
                <w:trHeight w:val="70"/>
              </w:trPr>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3.Непроизводственные основные фонды</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3695034</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1498748</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1010378</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154129</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5039653</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4029275</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-154129</w:t>
                  </w:r>
                </w:p>
              </w:tc>
              <w:tc>
                <w:tcPr>
                  <w:tcW w:w="11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109,04</w:t>
                  </w:r>
                </w:p>
              </w:tc>
            </w:tr>
            <w:tr w:rsidR="00383303" w:rsidRPr="00383303" w:rsidTr="00383303">
              <w:trPr>
                <w:trHeight w:val="67"/>
              </w:trPr>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Всего</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62654100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22839156</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2432501</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1790243</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9017186</w:t>
                  </w:r>
                </w:p>
              </w:tc>
              <w:tc>
                <w:tcPr>
                  <w:tcW w:w="108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460946</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76322814</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56697280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-6584685</w:t>
                  </w:r>
                </w:p>
              </w:tc>
              <w:tc>
                <w:tcPr>
                  <w:tcW w:w="11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6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90,49</w:t>
                  </w:r>
                </w:p>
              </w:tc>
            </w:tr>
          </w:tbl>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проведении анализа коэффициенты обновления, выбытия и прироста основных фондов следует рассматривать взаимосвязано. Привлекая дополнительные данные, целесообразно выяснить, осуществляется ли обновление основных фондов за счёт нового строительства или модернизации, замены старого оборудования на новое, более высоко производительное, и сделать соответствующий вывод об эффективности применения основных фондов.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 ДОКу данные о степени обновления, выбытия и прироста основных фондов сформированы на основании ф.№11(приложение Е) в таблице 10:</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10 – Анализ степени обновления, выбытия и прироста основных фондов</w:t>
            </w:r>
          </w:p>
          <w:tbl>
            <w:tblPr>
              <w:tblW w:w="9045"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935"/>
              <w:gridCol w:w="2265"/>
              <w:gridCol w:w="1845"/>
            </w:tblGrid>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75" w:after="75" w:line="240" w:lineRule="auto"/>
                    <w:ind w:left="75" w:right="75"/>
                    <w:jc w:val="center"/>
                    <w:outlineLvl w:val="0"/>
                    <w:rPr>
                      <w:rFonts w:ascii="Arial" w:eastAsia="Times New Roman" w:hAnsi="Arial" w:cs="Arial"/>
                      <w:b/>
                      <w:bCs/>
                      <w:kern w:val="36"/>
                      <w:sz w:val="33"/>
                      <w:szCs w:val="33"/>
                      <w:lang w:eastAsia="ru-RU"/>
                    </w:rPr>
                  </w:pPr>
                  <w:r w:rsidRPr="00383303">
                    <w:rPr>
                      <w:rFonts w:ascii="Arial" w:eastAsia="Times New Roman" w:hAnsi="Arial" w:cs="Arial"/>
                      <w:b/>
                      <w:bCs/>
                      <w:kern w:val="36"/>
                      <w:sz w:val="33"/>
                      <w:szCs w:val="33"/>
                      <w:lang w:eastAsia="ru-RU"/>
                    </w:rPr>
                    <w:t>Коэффициенты</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Расчёт</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Уровень коэффициентов</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 Обновления всех основных фондов:</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всем поступившим (К</w:t>
                  </w:r>
                  <w:r w:rsidRPr="00383303">
                    <w:rPr>
                      <w:rFonts w:ascii="Arial" w:eastAsia="Times New Roman" w:hAnsi="Arial" w:cs="Arial"/>
                      <w:sz w:val="18"/>
                      <w:szCs w:val="18"/>
                      <w:vertAlign w:val="subscript"/>
                      <w:lang w:eastAsia="ru-RU"/>
                    </w:rPr>
                    <w:t>о</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2726252/56697280</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0,048</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введённым в действие (К</w:t>
                  </w:r>
                  <w:r w:rsidRPr="00383303">
                    <w:rPr>
                      <w:rFonts w:ascii="Arial" w:eastAsia="Times New Roman" w:hAnsi="Arial" w:cs="Arial"/>
                      <w:sz w:val="18"/>
                      <w:szCs w:val="18"/>
                      <w:vertAlign w:val="subscript"/>
                      <w:lang w:eastAsia="ru-RU"/>
                    </w:rPr>
                    <w:t>в</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2432501/56697280</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0,0429</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 Обновления промышленно-производственных основных фондов:</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r>
            <w:tr w:rsidR="00383303" w:rsidRPr="00383303" w:rsidTr="00383303">
              <w:trPr>
                <w:trHeight w:val="343"/>
              </w:trPr>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всем поступившим (К</w:t>
                  </w:r>
                  <w:r w:rsidRPr="00383303">
                    <w:rPr>
                      <w:rFonts w:ascii="Arial" w:eastAsia="Times New Roman" w:hAnsi="Arial" w:cs="Arial"/>
                      <w:sz w:val="18"/>
                      <w:szCs w:val="18"/>
                      <w:vertAlign w:val="subscript"/>
                      <w:lang w:eastAsia="ru-RU"/>
                    </w:rPr>
                    <w:t>о</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2726252/56697280</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0,048</w:t>
                  </w:r>
                </w:p>
              </w:tc>
            </w:tr>
            <w:tr w:rsidR="00383303" w:rsidRPr="00383303" w:rsidTr="00383303">
              <w:trPr>
                <w:trHeight w:val="87"/>
              </w:trPr>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87" w:lineRule="atLeast"/>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введённым в действие (К</w:t>
                  </w:r>
                  <w:r w:rsidRPr="00383303">
                    <w:rPr>
                      <w:rFonts w:ascii="Arial" w:eastAsia="Times New Roman" w:hAnsi="Arial" w:cs="Arial"/>
                      <w:sz w:val="18"/>
                      <w:szCs w:val="18"/>
                      <w:vertAlign w:val="subscript"/>
                      <w:lang w:eastAsia="ru-RU"/>
                    </w:rPr>
                    <w:t>в</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8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2432501/56697280</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87"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0,0429</w:t>
                  </w:r>
                </w:p>
              </w:tc>
            </w:tr>
            <w:tr w:rsidR="00383303" w:rsidRPr="00383303" w:rsidTr="00383303">
              <w:trPr>
                <w:trHeight w:val="235"/>
              </w:trPr>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 Обновления активной части промышленно-производственных основных фондов</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всем поступившим (К</w:t>
                  </w:r>
                  <w:r w:rsidRPr="00383303">
                    <w:rPr>
                      <w:rFonts w:ascii="Arial" w:eastAsia="Times New Roman" w:hAnsi="Arial" w:cs="Arial"/>
                      <w:sz w:val="18"/>
                      <w:szCs w:val="18"/>
                      <w:vertAlign w:val="subscript"/>
                      <w:lang w:eastAsia="ru-RU"/>
                    </w:rPr>
                    <w:t>о</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10728197/37504079</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0,286</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введённым в действие (К</w:t>
                  </w:r>
                  <w:r w:rsidRPr="00383303">
                    <w:rPr>
                      <w:rFonts w:ascii="Arial" w:eastAsia="Times New Roman" w:hAnsi="Arial" w:cs="Arial"/>
                      <w:sz w:val="18"/>
                      <w:szCs w:val="18"/>
                      <w:vertAlign w:val="subscript"/>
                      <w:lang w:eastAsia="ru-RU"/>
                    </w:rPr>
                    <w:t>в</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884291/37504079</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0,0236</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 Выбытия всех основных фондов:</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lastRenderedPageBreak/>
                    <w:t>- по всем выбывшим (К</w:t>
                  </w:r>
                  <w:r w:rsidRPr="00383303">
                    <w:rPr>
                      <w:rFonts w:ascii="Arial" w:eastAsia="Times New Roman" w:hAnsi="Arial" w:cs="Arial"/>
                      <w:sz w:val="18"/>
                      <w:szCs w:val="18"/>
                      <w:vertAlign w:val="subscript"/>
                      <w:lang w:eastAsia="ru-RU"/>
                    </w:rPr>
                    <w:t>выб</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9017186/62654100</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0,144</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ликвидированным (К</w:t>
                  </w:r>
                  <w:r w:rsidRPr="00383303">
                    <w:rPr>
                      <w:rFonts w:ascii="Arial" w:eastAsia="Times New Roman" w:hAnsi="Arial" w:cs="Arial"/>
                      <w:sz w:val="18"/>
                      <w:szCs w:val="18"/>
                      <w:vertAlign w:val="subscript"/>
                      <w:lang w:eastAsia="ru-RU"/>
                    </w:rPr>
                    <w:t>ликв</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460946/62654100</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0,0074</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 Выбытия промышленно-производственных основных фондов:</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всем выбывшим (К</w:t>
                  </w:r>
                  <w:r w:rsidRPr="00383303">
                    <w:rPr>
                      <w:rFonts w:ascii="Arial" w:eastAsia="Times New Roman" w:hAnsi="Arial" w:cs="Arial"/>
                      <w:sz w:val="18"/>
                      <w:szCs w:val="18"/>
                      <w:vertAlign w:val="subscript"/>
                      <w:lang w:eastAsia="ru-RU"/>
                    </w:rPr>
                    <w:t>выб</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9017313/58900969</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0,153</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ликвидированным (К</w:t>
                  </w:r>
                  <w:r w:rsidRPr="00383303">
                    <w:rPr>
                      <w:rFonts w:ascii="Arial" w:eastAsia="Times New Roman" w:hAnsi="Arial" w:cs="Arial"/>
                      <w:sz w:val="18"/>
                      <w:szCs w:val="18"/>
                      <w:vertAlign w:val="subscript"/>
                      <w:lang w:eastAsia="ru-RU"/>
                    </w:rPr>
                    <w:t>ликв</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460946/58900969</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0,0078</w:t>
                  </w:r>
                </w:p>
              </w:tc>
            </w:tr>
            <w:tr w:rsidR="00383303" w:rsidRPr="00383303" w:rsidTr="00383303">
              <w:trPr>
                <w:trHeight w:val="415"/>
              </w:trPr>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 Выбытия активной части промышленно-производственных основных фондов:</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всем выбывшим (К</w:t>
                  </w:r>
                  <w:r w:rsidRPr="00383303">
                    <w:rPr>
                      <w:rFonts w:ascii="Arial" w:eastAsia="Times New Roman" w:hAnsi="Arial" w:cs="Arial"/>
                      <w:sz w:val="18"/>
                      <w:szCs w:val="18"/>
                      <w:vertAlign w:val="subscript"/>
                      <w:lang w:eastAsia="ru-RU"/>
                    </w:rPr>
                    <w:t>выб</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9017313/58900969</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0,153</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ликвидированным (К</w:t>
                  </w:r>
                  <w:r w:rsidRPr="00383303">
                    <w:rPr>
                      <w:rFonts w:ascii="Arial" w:eastAsia="Times New Roman" w:hAnsi="Arial" w:cs="Arial"/>
                      <w:sz w:val="18"/>
                      <w:szCs w:val="18"/>
                      <w:vertAlign w:val="subscript"/>
                      <w:lang w:eastAsia="ru-RU"/>
                    </w:rPr>
                    <w:t>ликв</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460946/58900969</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0,0078</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ind w:firstLine="300"/>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 Прироста (К</w:t>
                  </w:r>
                  <w:r w:rsidRPr="00383303">
                    <w:rPr>
                      <w:rFonts w:ascii="Arial" w:eastAsia="Times New Roman" w:hAnsi="Arial" w:cs="Arial"/>
                      <w:sz w:val="18"/>
                      <w:szCs w:val="18"/>
                      <w:vertAlign w:val="subscript"/>
                      <w:lang w:eastAsia="ru-RU"/>
                    </w:rPr>
                    <w:t>пр</w:t>
                  </w:r>
                  <w:r w:rsidRPr="00383303">
                    <w:rPr>
                      <w:rFonts w:ascii="Arial" w:eastAsia="Times New Roman" w:hAnsi="Arial" w:cs="Arial"/>
                      <w:sz w:val="18"/>
                      <w:szCs w:val="18"/>
                      <w:lang w:eastAsia="ru-RU"/>
                    </w:rPr>
                    <w:t>)</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всем основным фондам</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-6584685//62654100</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-0,105</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промышленно-производственным основным фондам</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-6584812/58900969</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-0,112</w:t>
                  </w:r>
                </w:p>
              </w:tc>
            </w:tr>
            <w:tr w:rsidR="00383303" w:rsidRPr="00383303" w:rsidTr="00383303">
              <w:tc>
                <w:tcPr>
                  <w:tcW w:w="493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по активной части промышленно-производственных основных фондов</w:t>
                  </w:r>
                </w:p>
              </w:tc>
              <w:tc>
                <w:tcPr>
                  <w:tcW w:w="226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-6584812/33449123</w:t>
                  </w:r>
                </w:p>
              </w:tc>
              <w:tc>
                <w:tcPr>
                  <w:tcW w:w="18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-0,197</w:t>
                  </w:r>
                </w:p>
              </w:tc>
            </w:tr>
          </w:tbl>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Из данных таблицы 10 следует, что коэффициент обновления всех основных фондов, по всем поступившим, равен 0,048 при уровне этого же показателя по активной части промышленно-производственных основных фондов 0,286, т.е. обновление основных фондов происходит в большей степени за счёт обновления активной части. Таким образом, степень обновления всех основных фондов, по поступившим, составляет 4,8%, а степень обновления по введенным в действие – 4,2%!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При рассмотрении коэффициентов выбытия можно сделать вывод, что выбытие происходит за счёт активной части основных фондов (коэффициенты равны соответственно 0,144 и 0,153).</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Все коэффициенты прироста имеют отрицательное значение, что говорит о превышении выбытия основных средств над поступлением и является, несомненно, отрицательным моментом.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Таким образом можно отметить, что стоимость основных средств ДОКа в отчетном году увеличилась на 13667714 тыс. р., в том числе промышленно производственных основных фондов – на 12304362 тыс. р., их активной части – на 4054956 тыс. р. Производственные основные фонды других отраслей увеличились в сумме на 18733 тыс. р., а непроизводственные основные фонды – на 1344619 тыс. р. Т. е. значительное увеличение стоимости наблюдается как по основным фондам в целом, так и по отдельным их подразделениям, но при весьма низком введении фондов в действие.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Без влияния переоценки, сумма основных средств предприятия снизилась на 9,51 п.п. ввиду превышения выбытия над поступлением на 6584685 тыс.руб. Стоимость промышленно-производственных основных фондов снизилась на 10,68 п.п., производственных основных фондов других отраслей – осталась без изменений с одновременным увеличением стоимости непроизводственных основных фондов на 9,04 п.п. что и повлекло за собой снижение стоимости всех основных фондов.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Следствием этого являются и крайне низкое значение всех коэффициентов обновления: степень обновления всех основных фондов, по поступившим, составляет 4,3%, а степень обновления по введенным в действие – 4,2%.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2.4 Оценка эффективности использования основных средств на предприятии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Фондоотдача – важнейший обобщающий показатель эффективности использования основных фондов.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Фондоотдача равна отношению стоимости выпущенной продукции к среднегодовой стоимости промышленно производственных основных фондов.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Исходные данные для расчёта фондоотдачи приводят в сопоставимый вид - стоимость основных фондов принимают с учётом переоценки, а объём продукции - в действующих ценах.</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Рассчитаем фондоотдачу (данные взяты из форм 11-ОС приложение 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lastRenderedPageBreak/>
              <w:t>ФО = ВП / ППОФ                                                                          (10)</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где ВП – выпуск продукции в сопоставимых ценах;</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ППОФ – стоимость основных фондов с учетом переоценки.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2001 год</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 = 21746 / 50350 = 0,432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2002 год</w:t>
            </w:r>
          </w:p>
          <w:p w:rsidR="00383303" w:rsidRPr="00383303" w:rsidRDefault="00383303" w:rsidP="00383303">
            <w:pPr>
              <w:spacing w:before="100" w:beforeAutospacing="1" w:after="100" w:afterAutospacing="1" w:line="240" w:lineRule="auto"/>
              <w:ind w:left="75" w:right="75"/>
              <w:jc w:val="both"/>
              <w:outlineLvl w:val="4"/>
              <w:rPr>
                <w:rFonts w:ascii="Courier New" w:eastAsia="Times New Roman" w:hAnsi="Courier New" w:cs="Courier New"/>
                <w:b/>
                <w:bCs/>
                <w:sz w:val="20"/>
                <w:szCs w:val="20"/>
                <w:lang w:eastAsia="ru-RU"/>
              </w:rPr>
            </w:pPr>
            <w:r w:rsidRPr="00383303">
              <w:rPr>
                <w:rFonts w:ascii="Courier New" w:eastAsia="Times New Roman" w:hAnsi="Courier New" w:cs="Courier New"/>
                <w:b/>
                <w:bCs/>
                <w:sz w:val="20"/>
                <w:szCs w:val="20"/>
                <w:lang w:eastAsia="ru-RU"/>
              </w:rPr>
              <w:t>ФО = 27415 / 65053 = 0,421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Следовательно, фондоотдача в 2002 году по сравнению с 2001 годом снизилась на 0,011 рубля.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Факторами первого порядка, влияющими на фондоотдачу, являются изменение удельного веса активной части и изменение фондоотдачи активной части.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19FE253F" wp14:editId="45E7A76C">
                  <wp:extent cx="1676400" cy="180975"/>
                  <wp:effectExtent l="0" t="0" r="0" b="9525"/>
                  <wp:docPr id="14" name="Рисунок 14" descr="http://www.bestreferat.ru/images/paper/27/20/53920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www.bestreferat.ru/images/paper/27/20/5392027.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676400" cy="180975"/>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(11)</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где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ФОакт – фондоотдача активной части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Уакт – удельный вес активной части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Отдача активной части является сложным фактором и её можно представить следующим образом: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noProof/>
                <w:sz w:val="18"/>
                <w:szCs w:val="18"/>
                <w:lang w:eastAsia="ru-RU"/>
              </w:rPr>
              <w:drawing>
                <wp:inline distT="0" distB="0" distL="0" distR="0" wp14:anchorId="630EA34A" wp14:editId="439B2B8B">
                  <wp:extent cx="2438400" cy="400050"/>
                  <wp:effectExtent l="0" t="0" r="0" b="0"/>
                  <wp:docPr id="15" name="Рисунок 15" descr="http://www.bestreferat.ru/images/paper/28/20/53920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www.bestreferat.ru/images/paper/28/20/5392028.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38400" cy="400050"/>
                          </a:xfrm>
                          <a:prstGeom prst="rect">
                            <a:avLst/>
                          </a:prstGeom>
                          <a:noFill/>
                          <a:ln>
                            <a:noFill/>
                          </a:ln>
                        </pic:spPr>
                      </pic:pic>
                    </a:graphicData>
                  </a:graphic>
                </wp:inline>
              </w:drawing>
            </w:r>
            <w:r w:rsidRPr="00383303">
              <w:rPr>
                <w:rFonts w:ascii="Courier New" w:eastAsia="Times New Roman" w:hAnsi="Courier New" w:cs="Courier New"/>
                <w:sz w:val="18"/>
                <w:szCs w:val="18"/>
                <w:lang w:eastAsia="ru-RU"/>
              </w:rPr>
              <w:t>                                                                 (12)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где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 – среднегодовое количество действующего оборудования;</w:t>
            </w:r>
          </w:p>
          <w:p w:rsidR="00383303" w:rsidRPr="00383303" w:rsidRDefault="00383303" w:rsidP="00383303">
            <w:pPr>
              <w:spacing w:before="100" w:beforeAutospacing="1" w:after="100" w:afterAutospacing="1" w:line="240" w:lineRule="auto"/>
              <w:ind w:left="75" w:right="75"/>
              <w:jc w:val="both"/>
              <w:outlineLvl w:val="3"/>
              <w:rPr>
                <w:rFonts w:ascii="Courier New" w:eastAsia="Times New Roman" w:hAnsi="Courier New" w:cs="Courier New"/>
                <w:b/>
                <w:bCs/>
                <w:sz w:val="24"/>
                <w:szCs w:val="24"/>
                <w:lang w:eastAsia="ru-RU"/>
              </w:rPr>
            </w:pPr>
            <w:r w:rsidRPr="00383303">
              <w:rPr>
                <w:rFonts w:ascii="Courier New" w:eastAsia="Times New Roman" w:hAnsi="Courier New" w:cs="Courier New"/>
                <w:b/>
                <w:bCs/>
                <w:sz w:val="24"/>
                <w:szCs w:val="24"/>
                <w:lang w:eastAsia="ru-RU"/>
              </w:rPr>
              <w:t>В – время работы единицы оборудования в год;</w:t>
            </w:r>
          </w:p>
          <w:p w:rsidR="00383303" w:rsidRPr="00383303" w:rsidRDefault="00383303" w:rsidP="00383303">
            <w:pPr>
              <w:spacing w:before="100" w:beforeAutospacing="1" w:after="100" w:afterAutospacing="1" w:line="240" w:lineRule="auto"/>
              <w:ind w:left="75" w:right="75"/>
              <w:jc w:val="both"/>
              <w:outlineLvl w:val="3"/>
              <w:rPr>
                <w:rFonts w:ascii="Courier New" w:eastAsia="Times New Roman" w:hAnsi="Courier New" w:cs="Courier New"/>
                <w:b/>
                <w:bCs/>
                <w:sz w:val="24"/>
                <w:szCs w:val="24"/>
                <w:lang w:eastAsia="ru-RU"/>
              </w:rPr>
            </w:pPr>
            <w:r w:rsidRPr="00383303">
              <w:rPr>
                <w:rFonts w:ascii="Courier New" w:eastAsia="Times New Roman" w:hAnsi="Courier New" w:cs="Courier New"/>
                <w:b/>
                <w:bCs/>
                <w:sz w:val="24"/>
                <w:szCs w:val="24"/>
                <w:lang w:eastAsia="ru-RU"/>
              </w:rPr>
              <w:t>Выр – среднечасовая выработка единицы оборудования;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ППОФ – среднегодовая стоимость ППОФ;</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Отд - ср.-часовая отдача работы единицы действующего оборудования.</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11 – Данные для анализа фондоотдачи на ДОКе за 2008-2009гг</w:t>
            </w:r>
          </w:p>
          <w:tbl>
            <w:tblPr>
              <w:tblW w:w="9150" w:type="dxa"/>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70"/>
              <w:gridCol w:w="1275"/>
              <w:gridCol w:w="1500"/>
              <w:gridCol w:w="1260"/>
              <w:gridCol w:w="1500"/>
              <w:gridCol w:w="1245"/>
            </w:tblGrid>
            <w:tr w:rsidR="00383303" w:rsidRPr="00383303" w:rsidTr="00383303">
              <w:trPr>
                <w:cantSplit/>
                <w:trHeight w:val="70"/>
              </w:trPr>
              <w:tc>
                <w:tcPr>
                  <w:tcW w:w="2370"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70" w:lineRule="atLeast"/>
                    <w:jc w:val="center"/>
                    <w:outlineLvl w:val="1"/>
                    <w:rPr>
                      <w:rFonts w:ascii="Arial" w:eastAsia="Times New Roman" w:hAnsi="Arial" w:cs="Arial"/>
                      <w:b/>
                      <w:bCs/>
                      <w:sz w:val="27"/>
                      <w:szCs w:val="27"/>
                      <w:lang w:eastAsia="ru-RU"/>
                    </w:rPr>
                  </w:pPr>
                  <w:r w:rsidRPr="00383303">
                    <w:rPr>
                      <w:rFonts w:ascii="Arial" w:eastAsia="Times New Roman" w:hAnsi="Arial" w:cs="Arial"/>
                      <w:b/>
                      <w:bCs/>
                      <w:sz w:val="27"/>
                      <w:szCs w:val="27"/>
                      <w:lang w:eastAsia="ru-RU"/>
                    </w:rPr>
                    <w:t>Показатели</w:t>
                  </w:r>
                </w:p>
              </w:tc>
              <w:tc>
                <w:tcPr>
                  <w:tcW w:w="2775"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2001 год</w:t>
                  </w:r>
                </w:p>
              </w:tc>
              <w:tc>
                <w:tcPr>
                  <w:tcW w:w="2760" w:type="dxa"/>
                  <w:gridSpan w:val="2"/>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2002 год</w:t>
                  </w:r>
                </w:p>
              </w:tc>
              <w:tc>
                <w:tcPr>
                  <w:tcW w:w="1245" w:type="dxa"/>
                  <w:vMerge w:val="restart"/>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70" w:lineRule="atLeast"/>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Отклонение (+,-)</w:t>
                  </w:r>
                </w:p>
              </w:tc>
            </w:tr>
            <w:tr w:rsidR="00383303" w:rsidRPr="00383303" w:rsidTr="00383303">
              <w:trPr>
                <w:cantSplit/>
              </w:trPr>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b/>
                      <w:bCs/>
                      <w:sz w:val="27"/>
                      <w:szCs w:val="27"/>
                      <w:lang w:eastAsia="ru-RU"/>
                    </w:rPr>
                  </w:pP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уровень показателя</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обозначение</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уровень показателя</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обозначение</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83303" w:rsidRPr="00383303" w:rsidRDefault="00383303" w:rsidP="00383303">
                  <w:pPr>
                    <w:spacing w:after="0" w:line="240" w:lineRule="auto"/>
                    <w:rPr>
                      <w:rFonts w:ascii="Arial" w:eastAsia="Times New Roman" w:hAnsi="Arial" w:cs="Arial"/>
                      <w:sz w:val="18"/>
                      <w:szCs w:val="18"/>
                      <w:lang w:eastAsia="ru-RU"/>
                    </w:rPr>
                  </w:pP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before="100" w:beforeAutospacing="1" w:after="100" w:afterAutospacing="1" w:line="240" w:lineRule="auto"/>
                    <w:jc w:val="center"/>
                    <w:outlineLvl w:val="1"/>
                    <w:rPr>
                      <w:rFonts w:ascii="Arial" w:eastAsia="Times New Roman" w:hAnsi="Arial" w:cs="Arial"/>
                      <w:b/>
                      <w:bCs/>
                      <w:sz w:val="27"/>
                      <w:szCs w:val="27"/>
                      <w:lang w:eastAsia="ru-RU"/>
                    </w:rPr>
                  </w:pPr>
                  <w:r w:rsidRPr="00383303">
                    <w:rPr>
                      <w:rFonts w:ascii="Arial" w:eastAsia="Times New Roman" w:hAnsi="Arial" w:cs="Arial"/>
                      <w:b/>
                      <w:bCs/>
                      <w:sz w:val="27"/>
                      <w:szCs w:val="27"/>
                      <w:lang w:eastAsia="ru-RU"/>
                    </w:rPr>
                    <w:t>А</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w:t>
                  </w: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 xml:space="preserve">1. Объём продукции в </w:t>
                  </w:r>
                  <w:r w:rsidRPr="00383303">
                    <w:rPr>
                      <w:rFonts w:ascii="Arial" w:eastAsia="Times New Roman" w:hAnsi="Arial" w:cs="Arial"/>
                      <w:sz w:val="18"/>
                      <w:szCs w:val="18"/>
                      <w:lang w:eastAsia="ru-RU"/>
                    </w:rPr>
                    <w:lastRenderedPageBreak/>
                    <w:t>действующих ценах, млн. руб.</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lastRenderedPageBreak/>
                    <w:t>21746</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ВП0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27415</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ВП1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+5669</w:t>
                  </w: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lastRenderedPageBreak/>
                    <w:t>2. Среднегодовая стоимость, млн руб.</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2.1 ППОФ</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50350</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ППОФ0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65053</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ППОФ1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+14703</w:t>
                  </w: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2.2 активной части</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40666</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ППОФакт0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46261</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ППОФакт1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+5595</w:t>
                  </w: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 Удельный вес активной части, %</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80,7</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Уакт0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71,1</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Уакт1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-9,6</w:t>
                  </w: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 Фондоотдача, руб.</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4.1 ППОФ</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0,432</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ФО0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0,421</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ФО1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-0,011</w:t>
                  </w: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4.2 активной части</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0,593</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ФОакт0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0,535</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Фоакт1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-0,058</w:t>
                  </w: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 Среднегодовое количество действующего оборудования, ед.</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1053</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Д0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1069</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Д1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+16</w:t>
                  </w:r>
                </w:p>
              </w:tc>
            </w:tr>
            <w:tr w:rsidR="00383303" w:rsidRPr="00383303" w:rsidTr="00383303">
              <w:trPr>
                <w:trHeight w:val="1005"/>
              </w:trPr>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 Фонд времени работы действующего оборудования, тыс. машино-часов</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3212</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Вобщ0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3224</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Вобщ1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w:t>
                  </w: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 Время работы единицы оборудования в год, машино-часов</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3050</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3016</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-34</w:t>
                  </w: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 Среднечасовая выработка единицы оборудования, руб.</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6770,24</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Выр0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8503,41</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Выр1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+1733,17</w:t>
                  </w:r>
                </w:p>
              </w:tc>
            </w:tr>
            <w:tr w:rsidR="00383303" w:rsidRPr="00383303" w:rsidTr="00383303">
              <w:tc>
                <w:tcPr>
                  <w:tcW w:w="237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 Ср.- часовая отдача (1 млн. руб. фондов) работы единицы действующего оборудования, руб.</w:t>
                  </w:r>
                </w:p>
              </w:tc>
              <w:tc>
                <w:tcPr>
                  <w:tcW w:w="127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0,18393</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Отд0</w:t>
                  </w:r>
                </w:p>
              </w:tc>
              <w:tc>
                <w:tcPr>
                  <w:tcW w:w="126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0,16656</w:t>
                  </w:r>
                </w:p>
              </w:tc>
              <w:tc>
                <w:tcPr>
                  <w:tcW w:w="150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Отд1</w:t>
                  </w:r>
                </w:p>
              </w:tc>
              <w:tc>
                <w:tcPr>
                  <w:tcW w:w="124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-0,01737</w:t>
                  </w:r>
                </w:p>
              </w:tc>
            </w:tr>
          </w:tbl>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Рассчитаем влияние факторов первого порядка (фондоотдачи активной части и удельного веса активной части) на фондоотдачу ППОФ:</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 (ФОакт) = (ФОакт1-ФОакт0)×Уакт1 =(0.535-0.593) ´ 0,711 = -0.0412(руб)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 (Уакт) = (Уакт1-Уакт0)×ФОакт0 = (0.711-0.807) ´ 0.535 = -0,0514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Вследствие уменьшения фондоотдачи активной части по сравнению с прошлым годом на 0,058 рубля, общая фондоотдача уменьшилась на 0,0412 рубля, а за счёт снижения удельного веса активной части ППОФ на 1,2% фондоотдача снизилась по сравнению с прошлым годом на 0,0514 рубля.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Совокупное влияние факторов = -0,412 + (-0,0514) = -0,011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Рассчитаем влияние факторов второго порядка на фондоотдачу активной части ППОФ и фондоотдачу ППОФ в целом: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∆ФОакт (Отд) = ∆Отд ´ В1 ´ Д1 = -0,01737 x3016x1069= -0,056(руб)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 (Отд) = ∆ФОакт (Отд) ´ Уакт1 = 0,056´ 0,711 = -0,3982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Следовательно, за счёт снижения ср.-часовой отдачи (1 млн. руб. фондов) работы единицы действующего оборудования на 0,01737 рубля, фондоотдача активной части снизилась на 0,056 рубля, а общая фондоотдача на 0,3982 рубля.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∆ФОакт (В) = Отд0 ´ ∆В ´ Д1 = 0,16656 ´ (-34) ´ 1069 = -0,006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 (В) = ∆ФОакт (В) ´ Уакт1 = -0,006 ´ 0,711 = -0,0043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Следовательно, за счёт снижения времени работы единицы оборудования на 34 машино-часов, фондоотдача активной части снизилась на 0,006 рубля, а общая фондоотдача – на 0,0043 рубля.</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∆ФОакт (Д) = Отд0 ´ В0 ´ ∆Д = 0,16656 ´ 3050 ´ 16 = +0,0081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 (Д) = ∆ФОакт (Д) ´ Уакт1 = 0,0081 ´ 0,711 = 0,0058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Следовательно, за счёт увеличения среднегодового количества действующего оборудования на 16 единиц, фондоотдача активной части увеличилась на 0,0081 рубля, а общая фондоотдача – на 0,0058 рубля.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Таким образом резервами роста фондоотдачи являются: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увеличение фондоотдачи активной части;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увеличение удельного веса активной части в общей стоимости ППОФ.</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свою очередь резервами роста фондоотдачи активной части являются: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увеличение ср.-часовой отдачи (1 млн. руб. фондов) работы единицы действующего оборудования;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увеличение времени работы единицы оборудования.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Также к показателям эффективности использования основных фондов относятся: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    производство продукции в сопоставимых ценах за вычетом налогов на 1 рубль средней остаточной стоимости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    объём реализации продукции в действующих ценах за вычетом налогов на 1 рубль средней остаточной стоимости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3.    прибыль от реализации продукции на 1 рубль средней остаточной стоимости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4.    чистая прибыль, приходящаяся на 1 рубль средней остаточной стоимости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5.    балансовая прибыль, приходящаяся на 1 рубль средней остаточной стоимости основных средств.</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Таблица 12 – Расчёт показателей эффективности использования основных фондов</w:t>
            </w:r>
          </w:p>
          <w:tbl>
            <w:tblPr>
              <w:tblW w:w="0" w:type="auto"/>
              <w:tblInd w:w="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785"/>
              <w:gridCol w:w="1140"/>
              <w:gridCol w:w="990"/>
              <w:gridCol w:w="1350"/>
              <w:gridCol w:w="990"/>
            </w:tblGrid>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Показатели</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2008 год</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2009 год</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Отклонение (+,-)</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Темп роста, %</w:t>
                  </w: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А</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w:t>
                  </w: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 Объём производства продукции в сопоставимых ценах за вычетом налогов, млн .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26618</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27754</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+1135</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104,26</w:t>
                  </w: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 Объём реализации продукции в действующих ценах за вычетом налогов, млн .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21746</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27415</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+5669</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126,07</w:t>
                  </w: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 Прибыль (убыток) от реализации продукции, млн .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2704</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2399</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-305</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88,7</w:t>
                  </w: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 Балансовая прибыль (убыток), млн.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1164</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544</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-620</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46,7</w:t>
                  </w: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 Средняя остаточная стоимость основных средств, млн.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54262</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694888</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+15226</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128,1</w:t>
                  </w: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 Показатели эффективности использования основных фондов,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6.1 Производство продукции на 1 р. основных средств,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0,49</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0,39</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-0,1</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79,6</w:t>
                  </w: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6.2 Реализация продукции на 1 р. основных средств,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0,4</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0,39</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-0,01</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97,5</w:t>
                  </w: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lastRenderedPageBreak/>
                    <w:t>6.3 Прибыль от реализации продукции на 1 р. основных средств,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0,050</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0,035</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-0,015</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70,0</w:t>
                  </w: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6.4 Чистая прибыль на 1 р. основных средств,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-0,016</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w:t>
                  </w:r>
                </w:p>
              </w:tc>
            </w:tr>
            <w:tr w:rsidR="00383303" w:rsidRPr="00383303" w:rsidTr="00383303">
              <w:tc>
                <w:tcPr>
                  <w:tcW w:w="4785"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6.5 Балансовая прибыль на 1 р. основных средств, руб.</w:t>
                  </w:r>
                </w:p>
              </w:tc>
              <w:tc>
                <w:tcPr>
                  <w:tcW w:w="114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0,021</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0,008</w:t>
                  </w:r>
                </w:p>
              </w:tc>
              <w:tc>
                <w:tcPr>
                  <w:tcW w:w="135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-0,013</w:t>
                  </w:r>
                </w:p>
              </w:tc>
              <w:tc>
                <w:tcPr>
                  <w:tcW w:w="990" w:type="dxa"/>
                  <w:tcBorders>
                    <w:top w:val="outset" w:sz="6" w:space="0" w:color="auto"/>
                    <w:left w:val="outset" w:sz="6" w:space="0" w:color="auto"/>
                    <w:bottom w:val="outset" w:sz="6" w:space="0" w:color="auto"/>
                    <w:right w:val="outset" w:sz="6" w:space="0" w:color="auto"/>
                  </w:tcBorders>
                  <w:hideMark/>
                </w:tcPr>
                <w:p w:rsidR="00383303" w:rsidRPr="00383303" w:rsidRDefault="00383303" w:rsidP="00383303">
                  <w:pPr>
                    <w:spacing w:after="0" w:line="240" w:lineRule="auto"/>
                    <w:jc w:val="both"/>
                    <w:rPr>
                      <w:rFonts w:ascii="Arial" w:eastAsia="Times New Roman" w:hAnsi="Arial" w:cs="Arial"/>
                      <w:sz w:val="18"/>
                      <w:szCs w:val="18"/>
                      <w:lang w:eastAsia="ru-RU"/>
                    </w:rPr>
                  </w:pPr>
                  <w:r w:rsidRPr="00383303">
                    <w:rPr>
                      <w:rFonts w:ascii="Arial" w:eastAsia="Times New Roman" w:hAnsi="Arial" w:cs="Arial"/>
                      <w:sz w:val="18"/>
                      <w:szCs w:val="18"/>
                      <w:lang w:eastAsia="ru-RU"/>
                    </w:rPr>
                    <w:t>38,1</w:t>
                  </w:r>
                </w:p>
              </w:tc>
            </w:tr>
          </w:tbl>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Исходя из данных таблицы 12 можно отметить следующее: производство продукции на 1 рубль основных средств снизилось на 0,1 рубля и составило 0,39 рубля на 1 рубль основных средств в отчётном году. Реализация продукции на 1 рубль основных средств также снизилась и составила 0,39 рубля на 1 рубль основных средств против 0,40 рубля в прошлом году. Что же касается показателя балансовой прибыли на 1 рубль основных средств, то . этот показатель имеет отрицательное значение.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Подводя итоги анализа фондоотдачи можно выделить следующие моменты: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           фондоотдача в 2009 году по сравнению с 2008 годом снизилась на 0,011рубля;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           общее снижение фондоотдачи произошло в основном за счет уменьшения фондоотдачи активной части по сравнению с прошлым годом на 0,058 рубля, общая фондоотдача снизилась на 0,0412 рубля, а за счёт снижения удельного веса активной части ППОФ на 1,2% фондоотдача снизилась по сравнению с прошлым годом на 0,006 рубля.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           фондоотдача активной части уменьшилась в основном за счёт снижения ср.-часовой отдачи (1 млн. руб. фондов) работы единицы действующего оборудования на 0,01737 рубля(фондоотдача активной части снизилась на 0,056 рубля).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за счёт снижения времени работы единицы оборудования на 34 машино-часов, фондоотдача активной части снизилась на 0,006 рубля;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за счёт увеличения среднегодового количества действующего оборудования на 16 единиц, фондоотдача активной части снизилась на 0,0081 рубля.</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3          ПУТИ УЛУЧШЕНИЯ ИСПОЛЬЗОВАНИЯ ОСНОВНЫХ СРЕДСТВ ОАО «Гомельдрев» ФСК</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3.1  Направления повышения эффективности использования основных средств на предприятии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Трудно переоценить народно-хозяйственное значение эффективного использования основных фондов и производственных мощностей. Решение этой задачи означает увеличение производства необходимой обществу продукции, повышение отдачи созданного производственного потенциала и более полное удовлетворение потребностей населения, улучшение баланса оборудования в стране, снижение себестоимости продукции, рост рентабельности производства, накоплений предприятия.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Более полное использование основного капитала на предприятии приводит к уменьшению потребностей в вводе новых производственных мощностей при изменении объема производства, а следовательно, к лучшему использованию прибыли предприятия (увеличению доли отчислений в фонд потребления, направлению большей части фонда накопления на механизацию и автоматизацию технологических процессов и т.п.).</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Улучшение использования основных фондов означает также ускорение их оборачиваемости, что в значительной мере способствует решению проблемы сокращения разрыва в сроках физического и морального износа, ускорения темпов обновления основных фондов.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Эффективное использование основного капитала тесно связано и с повышением качества выпускаемой продукции, ибо в условиях рыночной конкуренции быстрее реализуется и пользуется спросом высококачественная продукция.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Успешное функционирование основных средств и производственных мощностей зависит и от того, насколько полно реализуются экстенсивные и интенсивные мероприятия улучшения их использования.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lastRenderedPageBreak/>
              <w:t>Любой комплекс мероприятий по улучшению использования производственных мощностей и основных фондов, разрабатываемый во всех звеньях управления промышленностью, должен предусматривать обеспечение роста объемов производства продукции прежде всего за счет более полного и эффективного использования внутрихозяйственных резервов и путем более полного использования машин и оборудования, повышения коэффициента сменности, ликвидации простоев, сокращения сроков освоения вновь вводимых в действие мощностей, дальнейшей интенсификации производственных процессов.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Мероприятия интенсивного направления повышения эффективности использования основного капитала не требуют дополнительного привлечения ресурсов и могут быть успешно внедрены на ОАО «Гомельдрев» ФСК.</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Одной из важнейших задач повышения эффективности использования капитальных вложений и основные средства является своевременный ввод в эксплуатацию новых основных фондов и производственных мощностей, быстрое их освоение. С этой целью капитальные вложения должны выделяться под запланированный прирост продукции с учетом мер по улучшению использования действующих мощностей, а также их техническому перевооружению и реконструкции.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Сокращение сроков ввода в эксплуатацию новых производственных мощностей позволит комбинату быстрее получить нужную для народного хозяйства продукцию с технически более совершенных ос</w:t>
            </w:r>
            <w:bookmarkStart w:id="21" w:name="OCRUncertain314"/>
            <w:r w:rsidRPr="00383303">
              <w:rPr>
                <w:rFonts w:ascii="Courier New" w:eastAsia="Times New Roman" w:hAnsi="Courier New" w:cs="Courier New"/>
                <w:color w:val="6600CC"/>
                <w:sz w:val="18"/>
                <w:szCs w:val="18"/>
                <w:lang w:eastAsia="ru-RU"/>
              </w:rPr>
              <w:t>н</w:t>
            </w:r>
            <w:bookmarkEnd w:id="21"/>
            <w:r w:rsidRPr="00383303">
              <w:rPr>
                <w:rFonts w:ascii="Courier New" w:eastAsia="Times New Roman" w:hAnsi="Courier New" w:cs="Courier New"/>
                <w:sz w:val="18"/>
                <w:szCs w:val="18"/>
                <w:lang w:eastAsia="ru-RU"/>
              </w:rPr>
              <w:t>овных фондов, ускорить их оборот и тем самым позволит замедлить наступление физического и морального износа основных фондов предприятия, повысить эффективность производства в целом.</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Важными путями повышения эффективности использования основных средств и производственных мощностей являются уменьшение количества излишнего оборудования и быстрое вовлечение в производство неустановленного оборудования. Особенно это касается активной части основных средств, доля которых на ФСК сравнительно велика. Омертвление большого количества средств труда снижает возможности прироста производства, ведет к прямым потерям овеществленного труда вследствие их физического износа, так как после длительного хранения оборудование часто приходит в негодность.</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Также, важнейшим направлением улучшения использования производственных мощностей оборудования на ФСК может быть более полная их загрузка путем повышения качества ремонтного обслуживания и своевременного обеспечения основного производства рабочей силой, сырьем и материалами.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Предприятие должно стремиться и к повышению эффективности использования оборудования, используя интенсивные факторы.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Интенсивное улучшение использования основных фондов и производственных мощностей предполагает повышение степени загрузки оборудования в единицу времени.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Интенсивность использования основных фондов повышается путем технического совершенствования орудий труда и совершенствования технологии производства, путем ликвидации узких мест в производственном процессе, сокращения сроков достижения проектной производительности техники, совершенствования научной организации труда, производства и управления, использования скоростных методов работы, повышения квалификации и профессионального мастерства рабочих.</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Развитие техники и связанная с этим интенсификация процессов неограниченны. Поэтому и не ограничены возможности интенсивного повышения использования основных фондов и производственных мощностей.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Повышение интенсивной загрузки оборудования на ФСК может быть достигнуто при модернизации действующих машин и механизмов, установлении оптимальных режимов их работы.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Практика промышленных предприятий показывает, что увеличение единичной мощности оборудования можно осуществить следующим образом: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в станках, машинах и агрегатах упрочнить наиболее ответ</w:t>
            </w:r>
            <w:bookmarkStart w:id="22" w:name="OCRUncertain319"/>
            <w:r w:rsidRPr="00383303">
              <w:rPr>
                <w:rFonts w:ascii="Courier New" w:eastAsia="Times New Roman" w:hAnsi="Courier New" w:cs="Courier New"/>
                <w:color w:val="6600CC"/>
                <w:sz w:val="18"/>
                <w:szCs w:val="18"/>
                <w:lang w:eastAsia="ru-RU"/>
              </w:rPr>
              <w:t>с</w:t>
            </w:r>
            <w:bookmarkEnd w:id="22"/>
            <w:r w:rsidRPr="00383303">
              <w:rPr>
                <w:rFonts w:ascii="Courier New" w:eastAsia="Times New Roman" w:hAnsi="Courier New" w:cs="Courier New"/>
                <w:sz w:val="18"/>
                <w:szCs w:val="18"/>
                <w:lang w:eastAsia="ru-RU"/>
              </w:rPr>
              <w:t xml:space="preserve">твенные детали и узлы;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 повысить основные параметры производственных процессов (скорость, давление, </w:t>
            </w:r>
            <w:r w:rsidRPr="00383303">
              <w:rPr>
                <w:rFonts w:ascii="Courier New" w:eastAsia="Times New Roman" w:hAnsi="Courier New" w:cs="Courier New"/>
                <w:sz w:val="18"/>
                <w:szCs w:val="18"/>
                <w:lang w:eastAsia="ru-RU"/>
              </w:rPr>
              <w:lastRenderedPageBreak/>
              <w:t xml:space="preserve">температура);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механизировать и автоматизировать не только основные производственные процессы и операции, но и вспомогательные и транспортные операции, нередко сдерживающие нормальный ход производства и использование оборудования; устаревшие машины модернизировать и заменить новыми, более совершенными.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Увеличение основных фондов вспомогательного производства ведет к росту фондоемкости продукции, так как непосредственного увеличения выпуска продукции при этом не происходит. Но без пропорционального развития вспомогательного основное производство не может функционировать с полной отдачей. Поэтому совершенствование организации и технической оснащенности вспомогательных работ, установление оптимальной структуры основных фондов на предприятии – важнейшее направление улучшения их использования.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Таким образом, существенным направлением повышения эффективности использования основных средств предприятия ОАО “Гомельдрев” ФСК может стать также совершенствование структуры основных производственных фондов.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На производственную структуру основных фондо</w:t>
            </w:r>
            <w:bookmarkStart w:id="23" w:name="OCRUncertain116"/>
            <w:r w:rsidRPr="00383303">
              <w:rPr>
                <w:rFonts w:ascii="Courier New" w:eastAsia="Times New Roman" w:hAnsi="Courier New" w:cs="Courier New"/>
                <w:color w:val="6600CC"/>
                <w:sz w:val="18"/>
                <w:szCs w:val="18"/>
                <w:lang w:eastAsia="ru-RU"/>
              </w:rPr>
              <w:t xml:space="preserve">в </w:t>
            </w:r>
            <w:bookmarkEnd w:id="23"/>
            <w:r w:rsidRPr="00383303">
              <w:rPr>
                <w:rFonts w:ascii="Courier New" w:eastAsia="Times New Roman" w:hAnsi="Courier New" w:cs="Courier New"/>
                <w:sz w:val="18"/>
                <w:szCs w:val="18"/>
                <w:lang w:eastAsia="ru-RU"/>
              </w:rPr>
              <w:t>оказывает влияние развитие концентрации, специализации, кооперирования и комбинирования производства. Следовательно, ФСК должен совершенствовать организацию производства и труда.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Комбинирование наиболее полно отвечает специфике деревообатывающих производств. Оно позволяет полнее использовать сырье, сократить число стадий его переработки и складские запасы, снизить затраты на транспортировку сырья и готовой продукции.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Экономия от укрупнения должна превышать рост затрат на транспортировку, а также дополнительные расходы, связанные с увеличением срока строительства и усложнением управления. Следует отметить, что повышение уровня автоматизации производства, внедрение прогрессивных методов строительства, увеличение межремонтных пробегов расширяет пределы укрупнения, а оно приводит к значительному улучшению производственной структуры.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Специализация создает условия для внедрения передовой техники и технологии, улучшения качества продукции повышения производительности труда, снижения себестоимости.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Творческое и добросовестное отношение работников к труду является важным условием улучшения использования основных фондов и производственных мощностей. Рациональная организация труда рабочих, а также их стимулирование за увеличение межремонтного периода оборудования может стать важным фактором повышения эффективности использования основных средств на ФСК.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3.2  Зарубежный опыт в улучшении использования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Для стран с переходными экономиками, к которым относится Республика Беларусь, решение проблемы амортизационной политики, обновления и модернизации производства остается приоритетным направлением рыночного реформирования и системных преобразований. Как свидетельствует опыт развитых стран, перед ними на различных этапах социально-экономического развития возникали проблемы обновления капитала как одного из основных условий экономического роста, повышения конкурентоспособности и прорыва на мировые рынки. Особенно ярко эти процессы происходили в послевоенный период, когда во многих странах проводилась политика индустриализации, требующая массового переоснащения промышленности и широкомасштабного расширения основного капитала.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основу амортизационной политики Республики Беларусь, исходя из опыта стран с давними рыночными традициями, заложена установка на целевое накопление денежных средств и их последующее применение для возмещения изношенных основных средств, адаптацию системы формирования амортизационных фондов к условиям рынка. Однако сегодня сохраняется целый ряд проблем в проведении эффективной амортизационной политики.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В странах с рыночной экономикой широко применяются метод ускоренных амортизационных отчислений, метод дегрессивной амортизации, метод отсроченной </w:t>
            </w:r>
            <w:r w:rsidRPr="00383303">
              <w:rPr>
                <w:rFonts w:ascii="Courier New" w:eastAsia="Times New Roman" w:hAnsi="Courier New" w:cs="Courier New"/>
                <w:sz w:val="18"/>
                <w:szCs w:val="18"/>
                <w:lang w:eastAsia="ru-RU"/>
              </w:rPr>
              <w:lastRenderedPageBreak/>
              <w:t>амортизации.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С помощью метода ускоренных амортизационных отчислений смягчается жесткость линейной амортизации. Применение данного метода позволяет предприятиям быстро обновлять оборудование и расширять производство на базе новейшей техники. Государства стимулируют внедрение этого метода путем снижения величины налога на прибыль. Наиболее широко метод ускоренной амортизации применялся в США и Англии.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Метод дегрессивной амортизации получил широкое распространение во Франции. Он позволяет отразить в бухгалтерском учете более быстрое обесценивание оборудования на начальном этапе его эксплуатации по сравнению с заключительным. При этом норма отчислений образуется путем умножения показателя линейной амортизации на более высокие коэффициенты.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Наиболее интересным для стран, переживающих кризисные периоды своего развития, представляется метод отсроченной амортизации. Суть его в следующем: если баланс предприятия убыточный, платежи по амортизации могут быть отсрочены до наступления финансовых лет с превышением доходов над расходами без ограничения в сроках.</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Функция амортизации как средства обновления капитала может быть успешна реализована только в условиях стабильности рыночного курса. В период же инфляции и повышения цен, когда стремление сохранить уровень производства может помешать обновлению оборудования предприятия, ситуация иная. Во многих странах в таких случаях разрешалось вести производство без уплаты налогов на закупки нового оборудования, что, по сути, представляло собой замену амортизационных отчислений. Затем статьи баланса могут быть пересмотрены с использованием методов, позволяющих приблизить стоимость основного капитала и стоимость его замены (переоценка баланса).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условиях высокой инфляции возникает необходимость неоднократных переоценок основных фондов с целью определенной компенсации их обесценивания и ослабления некоторых негативных тенденций в структуре затрат.</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Анализ показывает, что основной причиной несовершенства действующей методики переоценки является использование коэффициентов, рассчитанных на основе изменения цен на продукцию машиностроения, имеющую лишь отдаленное соответствие номенклатуре активной части основных фондов предприятий, что в значительной мере искажает их переоцененную стоимость. Индекс цен производителей промышленной продукции значительно опережает индексы изменения стоимости зданий и сооружений, а также потребительских цен. Это приводит к тому, что для довольно широкой номенклатуры функционирующих в народном хозяйстве республики основных фондов искусственно применяется усредненный норматив, поскольку отсутствуют рыночные аналоги для подтверждения их реальной цены.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На практике приходится иметь дело со значительными ценовыми искажениями, при которых стоимость бывшего в употреблении либо полностью изношенного оборудования после переоценки вплотную приближается, а порой превышает цену нового аналогичного оборудования (станки, приборы, вычислительная техника, транспортные средства).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Обобщение опыта переоценки основных фондов в экономически развитых странах позволяет выделить некоторые характерные особенности.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Прежде всего необходимо отметить, что преимущественной формой оценки основных фондов являются рыночные методы. Причем для определения стоимости активов в качестве главного используется метод капитализации дохода с применением рыночных данных по коэффициенту капитализации, ставке процента, чистой арендной плате сравниваемых объектов. В меньшей степени применяется метод оценки материальных активов, основанный на остаточной стоимости замещения и используемый, как правило, для оценки активов, эпизодически появляющихся на рынке. Оценка основных фондов по остаточной стоимости замещения используется для проверки и сравнения результатов, полученных на основе рыночной оценки.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ряде европейских стран не практикуется принятие текущей рыночной стоимости активов для использования в финансовой отчетности, так как это может привести к росту налоговых изъятий. В других же странах имеется юридическое обязательство предприятий указывать текущую рыночную стоимость земли, зданий и сооружений.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В международной практике оценки основных фондов наиболее широкое распространение </w:t>
            </w:r>
            <w:r w:rsidRPr="00383303">
              <w:rPr>
                <w:rFonts w:ascii="Courier New" w:eastAsia="Times New Roman" w:hAnsi="Courier New" w:cs="Courier New"/>
                <w:sz w:val="18"/>
                <w:szCs w:val="18"/>
                <w:lang w:eastAsia="ru-RU"/>
              </w:rPr>
              <w:lastRenderedPageBreak/>
              <w:t>получили европейские профессиональные стандарты. Европейские и американские стандарты совместимы и основаны на единой методологической базе оценки и сравнения. Вместе с тем американские стандарты оценки в сравнении с европейскими распространяются на более широкий спектр видов имущественных прав. Важно отметить, что стандарты не ограничивают свободу выбора тех или иных методов оценки; ее отличают особенности бухгалтерской отчетности, налоговой системы, национальных законодательств.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этих странах существует высокоразвитый институт профессиональных оценщиков, определены их права, обязанности и ответственность, что позволяет получать достоверные данные, характеризующие материальные активы.</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Страны с переходной экономикой не обладают в достаточной мере институциональными структурами, необходимыми для корректной и достаточно надежной оценки основных фондов. Проведение реформ в этих странах, сопровождавшее переход от плановой экономики к рыночной, отличалось бурным инфляционным процессом, протекавшим, как правило, в скрытой форме. Поэтому чтобы иметь представление о реальной стоимости материальных активов, в начальный период реформ переоценка основных фондов проходила довольно часто. В качестве метода оценки применялись различного рода индексы и коэффициенты пересчета балансов стоимости основных фондов. Такой подход чреват искажением результатов и потому должен дополняться оценками независимых экспертов по основным фондам. В России уже пришли к пониманию этой проблемы, и оценка материальных активов производится как статистически (в основном на федеральном уровне), так и рыночными методами, в связи с чем растет спрос на услуги профессиональных оценщиков.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Для Беларуси полезность изучения зарубежного опыта оценки (переоценки) основных фондов заключается в понимании того, что большинство стран используют единую методологию и стандарты. Поэтому в республике необходимо разрабатывать систему учета, оценки основных фондов, ориентированную на методологию, применяемую в международной практике и корреспондирующую с европейскими стандартами оценки капитальных активов.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Проблемным остается изыскание и эффективное использование не только внешних, но и внутренних инвестиций для обновления основного капитала. Наряду с традиционными источниками финансирования основного капитала необходимо использовать и нетрадиционные для нашей страны, но распространенные в странах с рыночной экономикой источники инвестиций такие, например, как лизинг.</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Во всем мире рынок лизинговых услуг – один из базовых элементов экономической инфраструктуры. За рубежом доля капитальных вложений в развитие производства, обусловленная реализацией лизинговых сделок, составляет в среднем 20-30 %. (В США – 28 %, в странах ЕС – 15-17 %). На этом фоне доля инвестиций, привлеченных с помощью лизинга в белорусскую экономику, выглядит ничтожной (около 1%).</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Развитие этого рынка обеспечит стабильную работу промышленности, внутренней и внешней торговли. Лизинг напрямую влияет на качество и конкурентоспособность товаров. В экономически развитых странах около 80 % новых видов продукции производится на оборудовании, взятом в лизинг. В Беларуси, где парк станочного оборудования устарел морально и физически примерно на 80 %, обращение к лизингу как форме инвестирования капиталов могло бы решить проблему ускоренного обновления основных фондов.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Заслуживает внимания многовидовой лизинг крупных активов, которые в зависимости от типа значительны по стоимости и требуют чрезвычайно сложной документации. Крупные активы могут включать химическое и нефтехимическое оборудование, интегрированные производственные линии, заводы, сооружения. Осуществлением лизинга могут заниматься инвестиционные банки. Подобные услуги касаются налогов и охватывают периоды около 15 – 20 лет с учетом объемов открытия кредитов между отдельными лизингодателями, объединенными в компанию, или между каждой стороной соответствующих отделов предприятий.</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Сегодня в нашей республике сложились объективные предпосылки для придания лизингу статуса государственного приоритета.</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jc w:val="both"/>
              <w:outlineLvl w:val="2"/>
              <w:rPr>
                <w:rFonts w:ascii="Courier New" w:eastAsia="Times New Roman" w:hAnsi="Courier New" w:cs="Courier New"/>
                <w:b/>
                <w:bCs/>
                <w:sz w:val="27"/>
                <w:szCs w:val="27"/>
                <w:lang w:eastAsia="ru-RU"/>
              </w:rPr>
            </w:pPr>
            <w:r w:rsidRPr="00383303">
              <w:rPr>
                <w:rFonts w:ascii="Courier New" w:eastAsia="Times New Roman" w:hAnsi="Courier New" w:cs="Courier New"/>
                <w:b/>
                <w:bCs/>
                <w:sz w:val="27"/>
                <w:szCs w:val="27"/>
                <w:lang w:eastAsia="ru-RU"/>
              </w:rPr>
              <w:t>Заключение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lastRenderedPageBreak/>
              <w:t>В данной дипломной работе были освещены такие вопросы, как понятие основных средств, их содержание и классификация, понятие эффективности использования основных средств и подходы к её оценке.</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работе дана характеристика основных показателей деятельности открытого акционерного общества «Гомельдрев» ДОК, рассчитаны и проанализированы в динамике показатели технического состояния основных средств, рассчитана фондоотдача, как важнейший показатель эффективности использования основных средств, факторы, влияющие на её величину, отображена сущность нового положения по начислению амортизации, методов переоценки и выявлены недостатки применяемого на предприятии индексного метода.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Технико-экономическая характеристика деятельности предприятия и проведенные в работе расчеты показывают, что в текущем году финансовое положение предприятия было неудовлетворительным..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Наибольший удельный вес в структуре основных фондов занимают промышленно-производственные основные фонды. Удельный вес производственных основных фондов других отраслей за год не изменился. Стоимость основных фондов на ДОКе увеличилась и значительное увеличение стоимости наблюдается как по основным фондам в целом, так и по отдельным их подразделениям, но при весьма низком введении фондов в действие. Эта разница образуется за счёт проведенной за 2009 год переоценки, весьма значительной по своей сумме. Без влияния переоценки, сумма основных средств предприятия снизилась ввиду превышения выбытия над поступлением.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Роль основных средств в процессе производства, особенности их воспроизводства в условиях перехода к рыночной экономике обусловливают особые требования к информации о наличии, движении, состоянии и использовании основных средств.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Важной проблемой стоящей перед предприятием является проблема выбора метода переоценки.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Применяемый на предприятии индексный метод переоценки сильно завышает их балансовую стоимость и нередко приводит к ситуации, когда стоимость нового купленного импортного оборудования оказывается меньше стоимости имеющегося на балансе предприятия отечественного оборудования, имеющего износ.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Обновление основных фондов происходит в большей степени за счёт обновления активной части. При рассмотрении коэффициентов выбытия можно сделать вывод, что выбытие происходит в основном за счёт активной части основных фондов. Из анализа коэффициентов прироста видно, что отрицательный прирост основных фондов связан с выбытием активной части основных средств.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Фондоотдача в 2009 году по сравнению с 2008 годом снизилась на 0,011 рубля. Наиболее существенное влияние на фондоотдачу оказало изменение отдачи активной части. Под воздействием этого фактора она снизилась на 0,041 руб. Из факторов второго порядка изменения фондоотдачи наибольшее влияние оказало изменение среднегодового количества действующего оборудования и изменение среднечасовой отдачи работы единицы оборудования – фондоотдача основных производственных основных фондов соответственно увеличилось на 0,01462 руб. и снизилась на 0,04198 руб.</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Таким образом резервами роста фондоотдачи являются: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увеличение фондоотдачи активной части;</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увеличение удельного веса активной части в общей стоимости ППОФ.</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В свою очередь резервами роста фондоотдачи активной части являются: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увеличение среднечасовой отдачи (1 млн. руб. фондов) работы единицы действующего оборудования;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увеличение времени работы единицы оборудования.</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lastRenderedPageBreak/>
              <w:t>Основным направлениями улучшения использования основных средств на ДОКе является реконструкция и техническое перевооружение, что позволит повысить технический уровень производства и сократить трудоемкость продукции. Дополнительные капитальные затраты при этом составят 2303,22 млн. р., экономический эффект полученный в течении первого года от внедрения всех перечисленных в п.3.1 мероприятий составит 2434,75 млн. р. Срок окупаемости произведенных капитальных вложений составит 2303,22/2434,75 = 0,9 года.</w:t>
            </w:r>
          </w:p>
          <w:p w:rsidR="00383303" w:rsidRPr="00383303" w:rsidRDefault="00383303" w:rsidP="00383303">
            <w:pPr>
              <w:spacing w:after="0" w:line="240" w:lineRule="auto"/>
              <w:ind w:left="75" w:right="75"/>
              <w:jc w:val="both"/>
              <w:rPr>
                <w:rFonts w:ascii="Courier New" w:eastAsia="Times New Roman" w:hAnsi="Courier New" w:cs="Courier New"/>
                <w:sz w:val="18"/>
                <w:szCs w:val="18"/>
                <w:lang w:eastAsia="ru-RU"/>
              </w:rPr>
            </w:pPr>
          </w:p>
          <w:p w:rsidR="00383303" w:rsidRPr="00383303" w:rsidRDefault="00383303" w:rsidP="00383303">
            <w:pPr>
              <w:spacing w:before="100" w:beforeAutospacing="1" w:after="100" w:afterAutospacing="1" w:line="240" w:lineRule="auto"/>
              <w:ind w:left="75" w:right="75"/>
              <w:jc w:val="both"/>
              <w:outlineLvl w:val="2"/>
              <w:rPr>
                <w:rFonts w:ascii="Courier New" w:eastAsia="Times New Roman" w:hAnsi="Courier New" w:cs="Courier New"/>
                <w:b/>
                <w:bCs/>
                <w:sz w:val="27"/>
                <w:szCs w:val="27"/>
                <w:lang w:eastAsia="ru-RU"/>
              </w:rPr>
            </w:pPr>
            <w:r w:rsidRPr="00383303">
              <w:rPr>
                <w:rFonts w:ascii="Courier New" w:eastAsia="Times New Roman" w:hAnsi="Courier New" w:cs="Courier New"/>
                <w:b/>
                <w:bCs/>
                <w:sz w:val="27"/>
                <w:szCs w:val="27"/>
                <w:lang w:eastAsia="ru-RU"/>
              </w:rPr>
              <w:t>Список используемых источников</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1.    Положение о порядке индексации амортизационных отчислений по основным средствам в РБ – Постановление Министерства экономики РБ, Министерства финансов, Министерства статистики и анализа РБ от 05.02.2002г. № 32/16/12.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    Положения «О порядке начисления амортизации основных средств и нематериальных активов», постановление Министерства экономики Республики Беларусь, Министерства финансов Республики Беларусь, Министерства статистики и анализа Республики Беларусь и Министерства архитектуры и строительства Республики Беларусь от 23.11.2001 № 187/110/96/18.</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3.    Положение по бухгалтерскому учёту основных средств (фондов) государственных, кооперативных (кроме колхозов) и общественных предприятий и организаций – Бухгалтерский учёт и контроль в республике Беларусь: (Сб. норматив. актов в 6 т.). Т. 4 Учёт имущества/Сост. И.Н. Ковалевич. –Мн.: Амалфея, 1996. –832с.</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4.    О лизинге на территории Республики Беларусь: Постановление Совета Министров РБ от 31.12.1997г. № 1769 с изменениями и дополнениями от 06.07.1998г. № 10/42, от 13.07.2002г. № 10/38.</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5.    Положение о переоценке основных средств организаций по состоянию на 1 января 2002 года – утв. пост. Министерства статистики и анализа Республики Беларусь № 2 от 05.01.2002 года.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6.    Положение о порядке переоценки незавершённого строительства и неустановленного оборудования по состоянию на 1 января 2002 года - утв. пост. Министерства статистики и анализа Республики Беларусь № 3 от 05.01.2002 года.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7.     Положение о переоценке государственного жилищного фонда в Республике Беларусь от 9.01.2001 года.</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8.    Приказ Минфина РБ, Минэкономики РБ, Мингосимущества РБ, Минстата РБ от 13.08.99г. №206 /74/157/187 "Об утверждении Методических указаний по оценке финансового состояния и определению критериев неплатежеспособности субъектов хозяйствования" // Главный бухгалтер.-1999.-№38.- с.8-22.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9.    О переоценке основных фондов предприятий и организаций и текущей индексации амортизационных отчислений - Бухгалтерский учёт и контроль в республике Беларусь: (Сб. норматив. актов в 6 т.). Т. 4 Учёт имущества/Сост. И.Н. Ковалевич. –Мн.: Амалфея, 1996. –832 с.</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10.  Классификация основных фондов народного хозяйства - Бухгалтерский учёт и контроль в республике Беларусь: (Сб. норматив. актов в 6 т.). Т. 4 Учёт имущества/Сост. И.Н. Ковалевич. –Мн.: Амалфея, 1996. –832с.</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11.  Инвентаризация имущества и финансоввых обязательств - Бухгалтерский учёт и контроль в республике Беларусь: (Сб. норматив. актов в 6 т.). Т. 4 Учёт имущества/Сост. И.Н. Ковалевич. –Мн.: Амалфея, 1996. –832 с.</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12.  Анализ хозяйственной деятельности в промышленности – под ред. Стражева В.И., изд. 4-ое, «Вышэйшая школа», Мн., 1999.</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13.  Аносов В. Индексация амортизационных отчислений как рычаг инвестиционной </w:t>
            </w:r>
            <w:r w:rsidRPr="00383303">
              <w:rPr>
                <w:rFonts w:ascii="Courier New" w:eastAsia="Times New Roman" w:hAnsi="Courier New" w:cs="Courier New"/>
                <w:sz w:val="18"/>
                <w:szCs w:val="18"/>
                <w:lang w:eastAsia="ru-RU"/>
              </w:rPr>
              <w:lastRenderedPageBreak/>
              <w:t>политики.// Финансы. Учет. Аудит. – 2001г. - № 5. – стр.20 22.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14.  Гасак Н. Амортизация и совершенствование амортизационной политики в Р.Б.// Белорусская экономика - №8, 1999 год, стр.3.</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 xml:space="preserve">15.  Головачев А., Гринюк Н. Экономические принципы оценки стоимости объектов недвижимости.// Экономика. Финансы. Управление. – 2000г. - №5. стр.39-44. </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16.  Гусаков Б., Левкович О., Левкович А. Миссия лизинга и структура рынка.// Финансы. Учет. Аудит. – 2001г. - № 10. – стр.33-36.</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17.   Енин Ю.И. О методе амортизации с применением понижающих коэффициентов.// Портфель бухгалтера и аудитора, №22-23, 2000 год, стр.147.</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18.   Ефимова О.В. Анализ платежеспособности предприятий.// Бухгалтерский учёт.- 1997.-№6.-с.70-77.</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19.  Ефимова О.В. Анализ показателей ликвидности.//Бухгалтерский учёт.-1997.-№6.-с.54-58.</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20.  Зенько И. Амортизационная политика на 2001 год.// Информбанк, №12, 2001 год, стр.13.</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21.  Кондакова Н. Порядок проведения инвентаризации и отражения в учёте её результатов.// Главный Бухгалтер, № 5, 2001 год, стр.35.</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22.  Левсевич А. Лизинг. Потребность и реальность.// Финансы. Учет. Аудит. 2000г. - № 7-8. – стр.49-50.</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23.  Левсевич А. Выгодность лизинговой сделки для предприятия - лизингополучателя.// Финансы. Учет. Аудит. – 2000г. - № 1. – стр.32-33.</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24.  Левсевич А. Дайте возможность лизингу привлекать инвестиции.// Финансы. Учет. Аудит. – 2001г. - № 8. – стр.38-41.</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25.  Лемеш В. Некоторые аспекты ввода в эксплуатацию основных средств// Портфель бухгалтера и аудитора, №10, 2000 год, стр.57.</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26.  Лесневская Н. - Учёт основных средств в международной учётной практике – Портфель бухгалтера и аудитора, №42, 2000 год, стр.62.</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27.  Савицкая Г.В. Анализ хозяйственной деятельности предприятия: Учебное пособие для вузов. -4изд.,перераб.,доп.-Мн.:Новое знание,1999.-688с.</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28.  Сокол Д. Ускоренная амортизация и инфляционные ожидания.// Финансы. Учет. Аудит. – 2000г. - № 10. – стр.32-33.</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29.  Теория и методы оценки недвижимости: Учебное пособие – Под ред. Есипова В.Е. – СПб.: СПб.ГУЭФ, 1998г. – 159с.</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30.  Фридман Дж., Ордуэй Ник. Анализ и оценка приносящей доход недвижимости. – Пер. с анг. – М.: Дело Лтд, - 1995г. – 480с.</w:t>
            </w:r>
          </w:p>
          <w:p w:rsidR="00383303" w:rsidRPr="00383303" w:rsidRDefault="00383303" w:rsidP="00383303">
            <w:pPr>
              <w:spacing w:before="100" w:beforeAutospacing="1" w:after="100" w:afterAutospacing="1" w:line="240" w:lineRule="auto"/>
              <w:ind w:left="75" w:right="75" w:firstLine="300"/>
              <w:jc w:val="both"/>
              <w:rPr>
                <w:rFonts w:ascii="Courier New" w:eastAsia="Times New Roman" w:hAnsi="Courier New" w:cs="Courier New"/>
                <w:sz w:val="18"/>
                <w:szCs w:val="18"/>
                <w:lang w:eastAsia="ru-RU"/>
              </w:rPr>
            </w:pPr>
            <w:r w:rsidRPr="00383303">
              <w:rPr>
                <w:rFonts w:ascii="Courier New" w:eastAsia="Times New Roman" w:hAnsi="Courier New" w:cs="Courier New"/>
                <w:sz w:val="18"/>
                <w:szCs w:val="18"/>
                <w:lang w:eastAsia="ru-RU"/>
              </w:rPr>
              <w:t>31.  Черва А. Переоценка основных средств.// Главный Бухгалтер, № 10, 11, 2001 год, стр.60.</w:t>
            </w:r>
          </w:p>
        </w:tc>
      </w:tr>
    </w:tbl>
    <w:p w:rsidR="00705146" w:rsidRDefault="00705146">
      <w:bookmarkStart w:id="24" w:name="_GoBack"/>
      <w:bookmarkEnd w:id="24"/>
    </w:p>
    <w:sectPr w:rsidR="007051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303"/>
    <w:rsid w:val="00383303"/>
    <w:rsid w:val="00705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83303"/>
    <w:pPr>
      <w:spacing w:before="75" w:after="75" w:line="240" w:lineRule="auto"/>
      <w:ind w:left="75" w:right="75"/>
      <w:jc w:val="center"/>
      <w:outlineLvl w:val="0"/>
    </w:pPr>
    <w:rPr>
      <w:rFonts w:ascii="Times New Roman" w:eastAsia="Times New Roman" w:hAnsi="Times New Roman" w:cs="Times New Roman"/>
      <w:b/>
      <w:bCs/>
      <w:kern w:val="36"/>
      <w:sz w:val="33"/>
      <w:szCs w:val="33"/>
      <w:lang w:eastAsia="ru-RU"/>
    </w:rPr>
  </w:style>
  <w:style w:type="paragraph" w:styleId="2">
    <w:name w:val="heading 2"/>
    <w:basedOn w:val="a"/>
    <w:link w:val="20"/>
    <w:uiPriority w:val="9"/>
    <w:qFormat/>
    <w:rsid w:val="00383303"/>
    <w:pPr>
      <w:spacing w:before="100" w:beforeAutospacing="1" w:after="100" w:afterAutospacing="1" w:line="240" w:lineRule="auto"/>
      <w:jc w:val="center"/>
      <w:outlineLvl w:val="1"/>
    </w:pPr>
    <w:rPr>
      <w:rFonts w:ascii="Times New Roman" w:eastAsia="Times New Roman" w:hAnsi="Times New Roman" w:cs="Times New Roman"/>
      <w:b/>
      <w:bCs/>
      <w:sz w:val="27"/>
      <w:szCs w:val="27"/>
      <w:lang w:eastAsia="ru-RU"/>
    </w:rPr>
  </w:style>
  <w:style w:type="paragraph" w:styleId="3">
    <w:name w:val="heading 3"/>
    <w:basedOn w:val="a"/>
    <w:link w:val="30"/>
    <w:uiPriority w:val="9"/>
    <w:qFormat/>
    <w:rsid w:val="003833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38330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383303"/>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383303"/>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3303"/>
    <w:rPr>
      <w:rFonts w:ascii="Times New Roman" w:eastAsia="Times New Roman" w:hAnsi="Times New Roman" w:cs="Times New Roman"/>
      <w:b/>
      <w:bCs/>
      <w:kern w:val="36"/>
      <w:sz w:val="33"/>
      <w:szCs w:val="33"/>
      <w:lang w:eastAsia="ru-RU"/>
    </w:rPr>
  </w:style>
  <w:style w:type="character" w:customStyle="1" w:styleId="20">
    <w:name w:val="Заголовок 2 Знак"/>
    <w:basedOn w:val="a0"/>
    <w:link w:val="2"/>
    <w:uiPriority w:val="9"/>
    <w:rsid w:val="00383303"/>
    <w:rPr>
      <w:rFonts w:ascii="Times New Roman" w:eastAsia="Times New Roman" w:hAnsi="Times New Roman" w:cs="Times New Roman"/>
      <w:b/>
      <w:bCs/>
      <w:sz w:val="27"/>
      <w:szCs w:val="27"/>
      <w:lang w:eastAsia="ru-RU"/>
    </w:rPr>
  </w:style>
  <w:style w:type="character" w:customStyle="1" w:styleId="30">
    <w:name w:val="Заголовок 3 Знак"/>
    <w:basedOn w:val="a0"/>
    <w:link w:val="3"/>
    <w:uiPriority w:val="9"/>
    <w:rsid w:val="0038330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83303"/>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383303"/>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383303"/>
    <w:rPr>
      <w:rFonts w:ascii="Times New Roman" w:eastAsia="Times New Roman" w:hAnsi="Times New Roman" w:cs="Times New Roman"/>
      <w:b/>
      <w:bCs/>
      <w:sz w:val="15"/>
      <w:szCs w:val="15"/>
      <w:lang w:eastAsia="ru-RU"/>
    </w:rPr>
  </w:style>
  <w:style w:type="numbering" w:customStyle="1" w:styleId="11">
    <w:name w:val="Нет списка1"/>
    <w:next w:val="a2"/>
    <w:uiPriority w:val="99"/>
    <w:semiHidden/>
    <w:unhideWhenUsed/>
    <w:rsid w:val="00383303"/>
  </w:style>
  <w:style w:type="character" w:styleId="a3">
    <w:name w:val="Hyperlink"/>
    <w:basedOn w:val="a0"/>
    <w:uiPriority w:val="99"/>
    <w:semiHidden/>
    <w:unhideWhenUsed/>
    <w:rsid w:val="00383303"/>
    <w:rPr>
      <w:strike w:val="0"/>
      <w:dstrike w:val="0"/>
      <w:color w:val="6600CC"/>
      <w:u w:val="none"/>
      <w:effect w:val="none"/>
    </w:rPr>
  </w:style>
  <w:style w:type="character" w:styleId="a4">
    <w:name w:val="FollowedHyperlink"/>
    <w:basedOn w:val="a0"/>
    <w:uiPriority w:val="99"/>
    <w:semiHidden/>
    <w:unhideWhenUsed/>
    <w:rsid w:val="00383303"/>
    <w:rPr>
      <w:strike w:val="0"/>
      <w:dstrike w:val="0"/>
      <w:color w:val="6600CC"/>
      <w:u w:val="none"/>
      <w:effect w:val="none"/>
    </w:rPr>
  </w:style>
  <w:style w:type="paragraph" w:styleId="a5">
    <w:name w:val="Normal (Web)"/>
    <w:basedOn w:val="a"/>
    <w:uiPriority w:val="99"/>
    <w:unhideWhenUsed/>
    <w:rsid w:val="00383303"/>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frametitle">
    <w:name w:val="frame_title"/>
    <w:basedOn w:val="a"/>
    <w:rsid w:val="00383303"/>
    <w:pPr>
      <w:spacing w:before="100" w:beforeAutospacing="1" w:after="100" w:afterAutospacing="1" w:line="240" w:lineRule="auto"/>
      <w:ind w:firstLine="300"/>
    </w:pPr>
    <w:rPr>
      <w:rFonts w:ascii="Times New Roman" w:eastAsia="Times New Roman" w:hAnsi="Times New Roman" w:cs="Times New Roman"/>
      <w:sz w:val="18"/>
      <w:szCs w:val="18"/>
      <w:lang w:eastAsia="ru-RU"/>
    </w:rPr>
  </w:style>
  <w:style w:type="paragraph" w:customStyle="1" w:styleId="headtitle">
    <w:name w:val="head_title"/>
    <w:basedOn w:val="a"/>
    <w:rsid w:val="00383303"/>
    <w:pPr>
      <w:spacing w:before="100" w:beforeAutospacing="1" w:after="100" w:afterAutospacing="1" w:line="240" w:lineRule="auto"/>
      <w:ind w:firstLine="300"/>
    </w:pPr>
    <w:rPr>
      <w:rFonts w:ascii="Times New Roman" w:eastAsia="Times New Roman" w:hAnsi="Times New Roman" w:cs="Times New Roman"/>
      <w:color w:val="AA008C"/>
      <w:sz w:val="54"/>
      <w:szCs w:val="54"/>
      <w:lang w:eastAsia="ru-RU"/>
    </w:rPr>
  </w:style>
  <w:style w:type="paragraph" w:customStyle="1" w:styleId="bordercell">
    <w:name w:val="border_cell"/>
    <w:basedOn w:val="a"/>
    <w:rsid w:val="00383303"/>
    <w:pPr>
      <w:pBdr>
        <w:top w:val="single" w:sz="6" w:space="4" w:color="000000"/>
        <w:left w:val="single" w:sz="6" w:space="4" w:color="000000"/>
        <w:bottom w:val="single" w:sz="6" w:space="4" w:color="000000"/>
        <w:right w:val="single" w:sz="6" w:space="4" w:color="000000"/>
      </w:pBdr>
      <w:spacing w:before="75" w:after="75" w:line="240" w:lineRule="auto"/>
      <w:ind w:left="75" w:right="75" w:firstLine="300"/>
    </w:pPr>
    <w:rPr>
      <w:rFonts w:ascii="Times New Roman" w:eastAsia="Times New Roman" w:hAnsi="Times New Roman" w:cs="Times New Roman"/>
      <w:sz w:val="24"/>
      <w:szCs w:val="24"/>
      <w:lang w:eastAsia="ru-RU"/>
    </w:rPr>
  </w:style>
  <w:style w:type="paragraph" w:customStyle="1" w:styleId="listtable">
    <w:name w:val="list_table"/>
    <w:basedOn w:val="a"/>
    <w:rsid w:val="00383303"/>
    <w:pPr>
      <w:shd w:val="clear" w:color="auto" w:fill="FFFFDD"/>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content">
    <w:name w:val="content"/>
    <w:basedOn w:val="a"/>
    <w:rsid w:val="00383303"/>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categorieslist">
    <w:name w:val="categories_list"/>
    <w:basedOn w:val="a"/>
    <w:rsid w:val="00383303"/>
    <w:pPr>
      <w:spacing w:before="100" w:beforeAutospacing="1" w:after="100" w:afterAutospacing="1" w:line="240" w:lineRule="auto"/>
      <w:ind w:firstLine="300"/>
    </w:pPr>
    <w:rPr>
      <w:rFonts w:ascii="Times New Roman" w:eastAsia="Times New Roman" w:hAnsi="Times New Roman" w:cs="Times New Roman"/>
      <w:sz w:val="17"/>
      <w:szCs w:val="17"/>
      <w:lang w:eastAsia="ru-RU"/>
    </w:rPr>
  </w:style>
  <w:style w:type="paragraph" w:customStyle="1" w:styleId="timg">
    <w:name w:val="timg"/>
    <w:basedOn w:val="a"/>
    <w:rsid w:val="00383303"/>
    <w:pPr>
      <w:spacing w:after="0" w:line="240" w:lineRule="auto"/>
      <w:ind w:firstLine="300"/>
    </w:pPr>
    <w:rPr>
      <w:rFonts w:ascii="Times New Roman" w:eastAsia="Times New Roman" w:hAnsi="Times New Roman" w:cs="Times New Roman"/>
      <w:sz w:val="24"/>
      <w:szCs w:val="24"/>
      <w:lang w:eastAsia="ru-RU"/>
    </w:rPr>
  </w:style>
  <w:style w:type="paragraph" w:customStyle="1" w:styleId="symbol">
    <w:name w:val="symbol"/>
    <w:basedOn w:val="a"/>
    <w:rsid w:val="00383303"/>
    <w:pPr>
      <w:spacing w:before="100" w:beforeAutospacing="1" w:after="100" w:afterAutospacing="1" w:line="240" w:lineRule="auto"/>
      <w:ind w:firstLine="300"/>
    </w:pPr>
    <w:rPr>
      <w:rFonts w:ascii="Symbol" w:eastAsia="Times New Roman" w:hAnsi="Symbol" w:cs="Times New Roman"/>
      <w:sz w:val="24"/>
      <w:szCs w:val="24"/>
      <w:lang w:eastAsia="ru-RU"/>
    </w:rPr>
  </w:style>
  <w:style w:type="paragraph" w:customStyle="1" w:styleId="suggestionsbox">
    <w:name w:val="suggestionsbox"/>
    <w:basedOn w:val="a"/>
    <w:rsid w:val="00383303"/>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suggestionlist">
    <w:name w:val="suggestionlist"/>
    <w:basedOn w:val="a"/>
    <w:rsid w:val="00383303"/>
    <w:pPr>
      <w:spacing w:after="0" w:line="240" w:lineRule="auto"/>
      <w:ind w:firstLine="300"/>
    </w:pPr>
    <w:rPr>
      <w:rFonts w:ascii="Times New Roman" w:eastAsia="Times New Roman" w:hAnsi="Times New Roman" w:cs="Times New Roman"/>
      <w:sz w:val="24"/>
      <w:szCs w:val="24"/>
      <w:lang w:eastAsia="ru-RU"/>
    </w:rPr>
  </w:style>
  <w:style w:type="paragraph" w:customStyle="1" w:styleId="suggestlistitem">
    <w:name w:val="suggestlistitem"/>
    <w:basedOn w:val="a"/>
    <w:rsid w:val="00383303"/>
    <w:pPr>
      <w:spacing w:after="45" w:line="240" w:lineRule="auto"/>
      <w:ind w:firstLine="300"/>
    </w:pPr>
    <w:rPr>
      <w:rFonts w:ascii="Times New Roman" w:eastAsia="Times New Roman" w:hAnsi="Times New Roman" w:cs="Times New Roman"/>
      <w:color w:val="6600CC"/>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383303"/>
    <w:pPr>
      <w:spacing w:before="75" w:after="75" w:line="240" w:lineRule="auto"/>
      <w:ind w:left="75" w:right="75"/>
      <w:jc w:val="center"/>
      <w:outlineLvl w:val="0"/>
    </w:pPr>
    <w:rPr>
      <w:rFonts w:ascii="Times New Roman" w:eastAsia="Times New Roman" w:hAnsi="Times New Roman" w:cs="Times New Roman"/>
      <w:b/>
      <w:bCs/>
      <w:kern w:val="36"/>
      <w:sz w:val="33"/>
      <w:szCs w:val="33"/>
      <w:lang w:eastAsia="ru-RU"/>
    </w:rPr>
  </w:style>
  <w:style w:type="paragraph" w:styleId="2">
    <w:name w:val="heading 2"/>
    <w:basedOn w:val="a"/>
    <w:link w:val="20"/>
    <w:uiPriority w:val="9"/>
    <w:qFormat/>
    <w:rsid w:val="00383303"/>
    <w:pPr>
      <w:spacing w:before="100" w:beforeAutospacing="1" w:after="100" w:afterAutospacing="1" w:line="240" w:lineRule="auto"/>
      <w:jc w:val="center"/>
      <w:outlineLvl w:val="1"/>
    </w:pPr>
    <w:rPr>
      <w:rFonts w:ascii="Times New Roman" w:eastAsia="Times New Roman" w:hAnsi="Times New Roman" w:cs="Times New Roman"/>
      <w:b/>
      <w:bCs/>
      <w:sz w:val="27"/>
      <w:szCs w:val="27"/>
      <w:lang w:eastAsia="ru-RU"/>
    </w:rPr>
  </w:style>
  <w:style w:type="paragraph" w:styleId="3">
    <w:name w:val="heading 3"/>
    <w:basedOn w:val="a"/>
    <w:link w:val="30"/>
    <w:uiPriority w:val="9"/>
    <w:qFormat/>
    <w:rsid w:val="003833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38330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383303"/>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paragraph" w:styleId="6">
    <w:name w:val="heading 6"/>
    <w:basedOn w:val="a"/>
    <w:link w:val="60"/>
    <w:uiPriority w:val="9"/>
    <w:qFormat/>
    <w:rsid w:val="00383303"/>
    <w:pPr>
      <w:spacing w:before="100" w:beforeAutospacing="1" w:after="100" w:afterAutospacing="1" w:line="240" w:lineRule="auto"/>
      <w:outlineLvl w:val="5"/>
    </w:pPr>
    <w:rPr>
      <w:rFonts w:ascii="Times New Roman" w:eastAsia="Times New Roman" w:hAnsi="Times New Roman" w:cs="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83303"/>
    <w:rPr>
      <w:rFonts w:ascii="Times New Roman" w:eastAsia="Times New Roman" w:hAnsi="Times New Roman" w:cs="Times New Roman"/>
      <w:b/>
      <w:bCs/>
      <w:kern w:val="36"/>
      <w:sz w:val="33"/>
      <w:szCs w:val="33"/>
      <w:lang w:eastAsia="ru-RU"/>
    </w:rPr>
  </w:style>
  <w:style w:type="character" w:customStyle="1" w:styleId="20">
    <w:name w:val="Заголовок 2 Знак"/>
    <w:basedOn w:val="a0"/>
    <w:link w:val="2"/>
    <w:uiPriority w:val="9"/>
    <w:rsid w:val="00383303"/>
    <w:rPr>
      <w:rFonts w:ascii="Times New Roman" w:eastAsia="Times New Roman" w:hAnsi="Times New Roman" w:cs="Times New Roman"/>
      <w:b/>
      <w:bCs/>
      <w:sz w:val="27"/>
      <w:szCs w:val="27"/>
      <w:lang w:eastAsia="ru-RU"/>
    </w:rPr>
  </w:style>
  <w:style w:type="character" w:customStyle="1" w:styleId="30">
    <w:name w:val="Заголовок 3 Знак"/>
    <w:basedOn w:val="a0"/>
    <w:link w:val="3"/>
    <w:uiPriority w:val="9"/>
    <w:rsid w:val="0038330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383303"/>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383303"/>
    <w:rPr>
      <w:rFonts w:ascii="Times New Roman" w:eastAsia="Times New Roman" w:hAnsi="Times New Roman" w:cs="Times New Roman"/>
      <w:b/>
      <w:bCs/>
      <w:sz w:val="20"/>
      <w:szCs w:val="20"/>
      <w:lang w:eastAsia="ru-RU"/>
    </w:rPr>
  </w:style>
  <w:style w:type="character" w:customStyle="1" w:styleId="60">
    <w:name w:val="Заголовок 6 Знак"/>
    <w:basedOn w:val="a0"/>
    <w:link w:val="6"/>
    <w:uiPriority w:val="9"/>
    <w:rsid w:val="00383303"/>
    <w:rPr>
      <w:rFonts w:ascii="Times New Roman" w:eastAsia="Times New Roman" w:hAnsi="Times New Roman" w:cs="Times New Roman"/>
      <w:b/>
      <w:bCs/>
      <w:sz w:val="15"/>
      <w:szCs w:val="15"/>
      <w:lang w:eastAsia="ru-RU"/>
    </w:rPr>
  </w:style>
  <w:style w:type="numbering" w:customStyle="1" w:styleId="11">
    <w:name w:val="Нет списка1"/>
    <w:next w:val="a2"/>
    <w:uiPriority w:val="99"/>
    <w:semiHidden/>
    <w:unhideWhenUsed/>
    <w:rsid w:val="00383303"/>
  </w:style>
  <w:style w:type="character" w:styleId="a3">
    <w:name w:val="Hyperlink"/>
    <w:basedOn w:val="a0"/>
    <w:uiPriority w:val="99"/>
    <w:semiHidden/>
    <w:unhideWhenUsed/>
    <w:rsid w:val="00383303"/>
    <w:rPr>
      <w:strike w:val="0"/>
      <w:dstrike w:val="0"/>
      <w:color w:val="6600CC"/>
      <w:u w:val="none"/>
      <w:effect w:val="none"/>
    </w:rPr>
  </w:style>
  <w:style w:type="character" w:styleId="a4">
    <w:name w:val="FollowedHyperlink"/>
    <w:basedOn w:val="a0"/>
    <w:uiPriority w:val="99"/>
    <w:semiHidden/>
    <w:unhideWhenUsed/>
    <w:rsid w:val="00383303"/>
    <w:rPr>
      <w:strike w:val="0"/>
      <w:dstrike w:val="0"/>
      <w:color w:val="6600CC"/>
      <w:u w:val="none"/>
      <w:effect w:val="none"/>
    </w:rPr>
  </w:style>
  <w:style w:type="paragraph" w:styleId="a5">
    <w:name w:val="Normal (Web)"/>
    <w:basedOn w:val="a"/>
    <w:uiPriority w:val="99"/>
    <w:unhideWhenUsed/>
    <w:rsid w:val="00383303"/>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frametitle">
    <w:name w:val="frame_title"/>
    <w:basedOn w:val="a"/>
    <w:rsid w:val="00383303"/>
    <w:pPr>
      <w:spacing w:before="100" w:beforeAutospacing="1" w:after="100" w:afterAutospacing="1" w:line="240" w:lineRule="auto"/>
      <w:ind w:firstLine="300"/>
    </w:pPr>
    <w:rPr>
      <w:rFonts w:ascii="Times New Roman" w:eastAsia="Times New Roman" w:hAnsi="Times New Roman" w:cs="Times New Roman"/>
      <w:sz w:val="18"/>
      <w:szCs w:val="18"/>
      <w:lang w:eastAsia="ru-RU"/>
    </w:rPr>
  </w:style>
  <w:style w:type="paragraph" w:customStyle="1" w:styleId="headtitle">
    <w:name w:val="head_title"/>
    <w:basedOn w:val="a"/>
    <w:rsid w:val="00383303"/>
    <w:pPr>
      <w:spacing w:before="100" w:beforeAutospacing="1" w:after="100" w:afterAutospacing="1" w:line="240" w:lineRule="auto"/>
      <w:ind w:firstLine="300"/>
    </w:pPr>
    <w:rPr>
      <w:rFonts w:ascii="Times New Roman" w:eastAsia="Times New Roman" w:hAnsi="Times New Roman" w:cs="Times New Roman"/>
      <w:color w:val="AA008C"/>
      <w:sz w:val="54"/>
      <w:szCs w:val="54"/>
      <w:lang w:eastAsia="ru-RU"/>
    </w:rPr>
  </w:style>
  <w:style w:type="paragraph" w:customStyle="1" w:styleId="bordercell">
    <w:name w:val="border_cell"/>
    <w:basedOn w:val="a"/>
    <w:rsid w:val="00383303"/>
    <w:pPr>
      <w:pBdr>
        <w:top w:val="single" w:sz="6" w:space="4" w:color="000000"/>
        <w:left w:val="single" w:sz="6" w:space="4" w:color="000000"/>
        <w:bottom w:val="single" w:sz="6" w:space="4" w:color="000000"/>
        <w:right w:val="single" w:sz="6" w:space="4" w:color="000000"/>
      </w:pBdr>
      <w:spacing w:before="75" w:after="75" w:line="240" w:lineRule="auto"/>
      <w:ind w:left="75" w:right="75" w:firstLine="300"/>
    </w:pPr>
    <w:rPr>
      <w:rFonts w:ascii="Times New Roman" w:eastAsia="Times New Roman" w:hAnsi="Times New Roman" w:cs="Times New Roman"/>
      <w:sz w:val="24"/>
      <w:szCs w:val="24"/>
      <w:lang w:eastAsia="ru-RU"/>
    </w:rPr>
  </w:style>
  <w:style w:type="paragraph" w:customStyle="1" w:styleId="listtable">
    <w:name w:val="list_table"/>
    <w:basedOn w:val="a"/>
    <w:rsid w:val="00383303"/>
    <w:pPr>
      <w:shd w:val="clear" w:color="auto" w:fill="FFFFDD"/>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content">
    <w:name w:val="content"/>
    <w:basedOn w:val="a"/>
    <w:rsid w:val="00383303"/>
    <w:pPr>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categorieslist">
    <w:name w:val="categories_list"/>
    <w:basedOn w:val="a"/>
    <w:rsid w:val="00383303"/>
    <w:pPr>
      <w:spacing w:before="100" w:beforeAutospacing="1" w:after="100" w:afterAutospacing="1" w:line="240" w:lineRule="auto"/>
      <w:ind w:firstLine="300"/>
    </w:pPr>
    <w:rPr>
      <w:rFonts w:ascii="Times New Roman" w:eastAsia="Times New Roman" w:hAnsi="Times New Roman" w:cs="Times New Roman"/>
      <w:sz w:val="17"/>
      <w:szCs w:val="17"/>
      <w:lang w:eastAsia="ru-RU"/>
    </w:rPr>
  </w:style>
  <w:style w:type="paragraph" w:customStyle="1" w:styleId="timg">
    <w:name w:val="timg"/>
    <w:basedOn w:val="a"/>
    <w:rsid w:val="00383303"/>
    <w:pPr>
      <w:spacing w:after="0" w:line="240" w:lineRule="auto"/>
      <w:ind w:firstLine="300"/>
    </w:pPr>
    <w:rPr>
      <w:rFonts w:ascii="Times New Roman" w:eastAsia="Times New Roman" w:hAnsi="Times New Roman" w:cs="Times New Roman"/>
      <w:sz w:val="24"/>
      <w:szCs w:val="24"/>
      <w:lang w:eastAsia="ru-RU"/>
    </w:rPr>
  </w:style>
  <w:style w:type="paragraph" w:customStyle="1" w:styleId="symbol">
    <w:name w:val="symbol"/>
    <w:basedOn w:val="a"/>
    <w:rsid w:val="00383303"/>
    <w:pPr>
      <w:spacing w:before="100" w:beforeAutospacing="1" w:after="100" w:afterAutospacing="1" w:line="240" w:lineRule="auto"/>
      <w:ind w:firstLine="300"/>
    </w:pPr>
    <w:rPr>
      <w:rFonts w:ascii="Symbol" w:eastAsia="Times New Roman" w:hAnsi="Symbol" w:cs="Times New Roman"/>
      <w:sz w:val="24"/>
      <w:szCs w:val="24"/>
      <w:lang w:eastAsia="ru-RU"/>
    </w:rPr>
  </w:style>
  <w:style w:type="paragraph" w:customStyle="1" w:styleId="suggestionsbox">
    <w:name w:val="suggestionsbox"/>
    <w:basedOn w:val="a"/>
    <w:rsid w:val="00383303"/>
    <w:pPr>
      <w:pBdr>
        <w:top w:val="single" w:sz="6" w:space="0" w:color="AAAAAA"/>
        <w:left w:val="single" w:sz="6" w:space="0" w:color="AAAAAA"/>
        <w:bottom w:val="single" w:sz="6" w:space="0" w:color="AAAAAA"/>
        <w:right w:val="single" w:sz="6" w:space="0" w:color="AAAAAA"/>
      </w:pBdr>
      <w:shd w:val="clear" w:color="auto" w:fill="FFFFFF"/>
      <w:spacing w:before="100" w:beforeAutospacing="1" w:after="100" w:afterAutospacing="1" w:line="240" w:lineRule="auto"/>
      <w:ind w:firstLine="300"/>
    </w:pPr>
    <w:rPr>
      <w:rFonts w:ascii="Times New Roman" w:eastAsia="Times New Roman" w:hAnsi="Times New Roman" w:cs="Times New Roman"/>
      <w:sz w:val="24"/>
      <w:szCs w:val="24"/>
      <w:lang w:eastAsia="ru-RU"/>
    </w:rPr>
  </w:style>
  <w:style w:type="paragraph" w:customStyle="1" w:styleId="suggestionlist">
    <w:name w:val="suggestionlist"/>
    <w:basedOn w:val="a"/>
    <w:rsid w:val="00383303"/>
    <w:pPr>
      <w:spacing w:after="0" w:line="240" w:lineRule="auto"/>
      <w:ind w:firstLine="300"/>
    </w:pPr>
    <w:rPr>
      <w:rFonts w:ascii="Times New Roman" w:eastAsia="Times New Roman" w:hAnsi="Times New Roman" w:cs="Times New Roman"/>
      <w:sz w:val="24"/>
      <w:szCs w:val="24"/>
      <w:lang w:eastAsia="ru-RU"/>
    </w:rPr>
  </w:style>
  <w:style w:type="paragraph" w:customStyle="1" w:styleId="suggestlistitem">
    <w:name w:val="suggestlistitem"/>
    <w:basedOn w:val="a"/>
    <w:rsid w:val="00383303"/>
    <w:pPr>
      <w:spacing w:after="45" w:line="240" w:lineRule="auto"/>
      <w:ind w:firstLine="300"/>
    </w:pPr>
    <w:rPr>
      <w:rFonts w:ascii="Times New Roman" w:eastAsia="Times New Roman" w:hAnsi="Times New Roman" w:cs="Times New Roman"/>
      <w:color w:val="6600CC"/>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603346">
      <w:bodyDiv w:val="1"/>
      <w:marLeft w:val="0"/>
      <w:marRight w:val="0"/>
      <w:marTop w:val="0"/>
      <w:marBottom w:val="0"/>
      <w:divBdr>
        <w:top w:val="none" w:sz="0" w:space="0" w:color="auto"/>
        <w:left w:val="none" w:sz="0" w:space="0" w:color="auto"/>
        <w:bottom w:val="none" w:sz="0" w:space="0" w:color="auto"/>
        <w:right w:val="none" w:sz="0" w:space="0" w:color="auto"/>
      </w:divBdr>
      <w:divsChild>
        <w:div w:id="458836457">
          <w:marLeft w:val="0"/>
          <w:marRight w:val="0"/>
          <w:marTop w:val="0"/>
          <w:marBottom w:val="0"/>
          <w:divBdr>
            <w:top w:val="none" w:sz="0" w:space="0" w:color="auto"/>
            <w:left w:val="none" w:sz="0" w:space="0" w:color="auto"/>
            <w:bottom w:val="none" w:sz="0" w:space="0" w:color="auto"/>
            <w:right w:val="none" w:sz="0" w:space="0" w:color="auto"/>
          </w:divBdr>
        </w:div>
        <w:div w:id="1620991016">
          <w:marLeft w:val="0"/>
          <w:marRight w:val="0"/>
          <w:marTop w:val="0"/>
          <w:marBottom w:val="0"/>
          <w:divBdr>
            <w:top w:val="none" w:sz="0" w:space="0" w:color="auto"/>
            <w:left w:val="none" w:sz="0" w:space="0" w:color="auto"/>
            <w:bottom w:val="none" w:sz="0" w:space="0" w:color="auto"/>
            <w:right w:val="none" w:sz="0" w:space="0" w:color="auto"/>
          </w:divBdr>
        </w:div>
        <w:div w:id="13548407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42</Pages>
  <Words>19852</Words>
  <Characters>113158</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132745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2011-11-03T15:13:00Z</dcterms:created>
  <dcterms:modified xsi:type="dcterms:W3CDTF">2011-11-03T15:20:00Z</dcterms:modified>
</cp:coreProperties>
</file>